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4"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180975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7" w:lineRule="exact"/>
        <w:rPr>
          <w:sz w:val="24"/>
          <w:szCs w:val="24"/>
          <w:color w:val="auto"/>
        </w:rPr>
      </w:pPr>
    </w:p>
    <w:p>
      <w:pPr>
        <w:jc w:val="center"/>
        <w:ind w:right="16"/>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189230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Pursuant to Secton 13 or 15(d)</w:t>
      </w:r>
    </w:p>
    <w:p>
      <w:pPr>
        <w:spacing w:after="0" w:line="1"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38" w:lineRule="exact"/>
        <w:rPr>
          <w:sz w:val="24"/>
          <w:szCs w:val="24"/>
          <w:color w:val="auto"/>
        </w:rPr>
      </w:pPr>
    </w:p>
    <w:p>
      <w:pPr>
        <w:jc w:val="center"/>
        <w:ind w:right="16"/>
        <w:spacing w:after="0"/>
        <w:rPr>
          <w:sz w:val="20"/>
          <w:szCs w:val="20"/>
          <w:color w:val="auto"/>
        </w:rPr>
      </w:pPr>
      <w:r>
        <w:rPr>
          <w:rFonts w:ascii="Calibri" w:cs="Calibri" w:eastAsia="Calibri" w:hAnsi="Calibri"/>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Calibri" w:cs="Calibri" w:eastAsia="Calibri" w:hAnsi="Calibri"/>
          <w:sz w:val="43"/>
          <w:szCs w:val="43"/>
          <w:b w:val="1"/>
          <w:bCs w:val="1"/>
          <w:color w:val="auto"/>
        </w:rPr>
        <w:t>Enliven Therapeutcs, Inc.</w:t>
      </w:r>
    </w:p>
    <w:p>
      <w:pPr>
        <w:spacing w:after="0" w:line="27" w:lineRule="exact"/>
        <w:rPr>
          <w:sz w:val="24"/>
          <w:szCs w:val="24"/>
          <w:color w:val="auto"/>
        </w:rPr>
      </w:pPr>
    </w:p>
    <w:p>
      <w:pPr>
        <w:jc w:val="center"/>
        <w:ind w:right="16"/>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186055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1084" w:type="dxa"/>
        <w:tblCellMar>
          <w:top w:w="0" w:type="dxa"/>
          <w:left w:w="0" w:type="dxa"/>
          <w:bottom w:w="0" w:type="dxa"/>
          <w:right w:w="0" w:type="dxa"/>
        </w:tblCellMar>
      </w:tblPr>
      <w:tr>
        <w:trPr>
          <w:trHeight w:val="220"/>
        </w:trPr>
        <w:tc>
          <w:tcPr>
            <w:tcW w:w="2860" w:type="dxa"/>
            <w:vAlign w:val="bottom"/>
          </w:tcPr>
          <w:p>
            <w:pPr>
              <w:jc w:val="center"/>
              <w:ind w:right="1202"/>
              <w:spacing w:after="0"/>
              <w:rPr>
                <w:sz w:val="20"/>
                <w:szCs w:val="20"/>
                <w:color w:val="auto"/>
              </w:rPr>
            </w:pPr>
            <w:r>
              <w:rPr>
                <w:rFonts w:ascii="Calibri" w:cs="Calibri" w:eastAsia="Calibri" w:hAnsi="Calibri"/>
                <w:sz w:val="18"/>
                <w:szCs w:val="18"/>
                <w:b w:val="1"/>
                <w:bCs w:val="1"/>
                <w:color w:val="auto"/>
                <w:w w:val="97"/>
              </w:rPr>
              <w:t>Delaware</w:t>
            </w:r>
          </w:p>
        </w:tc>
        <w:tc>
          <w:tcPr>
            <w:tcW w:w="3420" w:type="dxa"/>
            <w:vAlign w:val="bottom"/>
          </w:tcPr>
          <w:p>
            <w:pPr>
              <w:ind w:left="1300"/>
              <w:spacing w:after="0"/>
              <w:rPr>
                <w:sz w:val="20"/>
                <w:szCs w:val="20"/>
                <w:color w:val="auto"/>
              </w:rPr>
            </w:pPr>
            <w:r>
              <w:rPr>
                <w:rFonts w:ascii="Calibri" w:cs="Calibri" w:eastAsia="Calibri" w:hAnsi="Calibri"/>
                <w:sz w:val="18"/>
                <w:szCs w:val="18"/>
                <w:b w:val="1"/>
                <w:bCs w:val="1"/>
                <w:color w:val="auto"/>
              </w:rPr>
              <w:t>001-39247</w:t>
            </w:r>
          </w:p>
        </w:tc>
        <w:tc>
          <w:tcPr>
            <w:tcW w:w="2440" w:type="dxa"/>
            <w:vAlign w:val="bottom"/>
          </w:tcPr>
          <w:p>
            <w:pPr>
              <w:jc w:val="center"/>
              <w:ind w:left="1262"/>
              <w:spacing w:after="0"/>
              <w:rPr>
                <w:sz w:val="20"/>
                <w:szCs w:val="20"/>
                <w:color w:val="auto"/>
              </w:rPr>
            </w:pPr>
            <w:r>
              <w:rPr>
                <w:rFonts w:ascii="Calibri" w:cs="Calibri" w:eastAsia="Calibri" w:hAnsi="Calibri"/>
                <w:sz w:val="18"/>
                <w:szCs w:val="18"/>
                <w:b w:val="1"/>
                <w:bCs w:val="1"/>
                <w:color w:val="auto"/>
                <w:w w:val="98"/>
              </w:rPr>
              <w:t>81-1523849</w:t>
            </w:r>
          </w:p>
        </w:tc>
      </w:tr>
      <w:tr>
        <w:trPr>
          <w:trHeight w:val="179"/>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(State or other jurisdicton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(Commission</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of incorporaton)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File Number)</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Identfcaton No.)</w:t>
            </w:r>
          </w:p>
        </w:tc>
      </w:tr>
    </w:tbl>
    <w:p>
      <w:pPr>
        <w:spacing w:after="0" w:line="155" w:lineRule="exact"/>
        <w:rPr>
          <w:sz w:val="24"/>
          <w:szCs w:val="24"/>
          <w:color w:val="auto"/>
        </w:rPr>
      </w:pPr>
    </w:p>
    <w:p>
      <w:pPr>
        <w:sectPr>
          <w:pgSz w:w="11900" w:h="16838" w:orient="portrait"/>
          <w:cols w:equalWidth="0" w:num="1">
            <w:col w:w="11024"/>
          </w:cols>
          <w:pgMar w:left="436" w:top="382" w:right="439" w:bottom="1440" w:gutter="0" w:footer="0" w:header="0"/>
        </w:sectPr>
      </w:pPr>
    </w:p>
    <w:p>
      <w:pPr>
        <w:jc w:val="center"/>
        <w:ind w:right="1856"/>
        <w:spacing w:after="0"/>
        <w:rPr>
          <w:sz w:val="20"/>
          <w:szCs w:val="20"/>
          <w:color w:val="auto"/>
        </w:rPr>
      </w:pPr>
      <w:r>
        <w:rPr>
          <w:rFonts w:ascii="Calibri" w:cs="Calibri" w:eastAsia="Calibri" w:hAnsi="Calibri"/>
          <w:sz w:val="18"/>
          <w:szCs w:val="18"/>
          <w:b w:val="1"/>
          <w:bCs w:val="1"/>
          <w:color w:val="auto"/>
        </w:rPr>
        <w:t>205 Park Road</w:t>
      </w:r>
    </w:p>
    <w:p>
      <w:pPr>
        <w:spacing w:after="0" w:line="1" w:lineRule="exact"/>
        <w:rPr>
          <w:sz w:val="24"/>
          <w:szCs w:val="24"/>
          <w:color w:val="auto"/>
        </w:rPr>
      </w:pPr>
    </w:p>
    <w:p>
      <w:pPr>
        <w:jc w:val="center"/>
        <w:ind w:right="1856"/>
        <w:spacing w:after="0"/>
        <w:rPr>
          <w:sz w:val="20"/>
          <w:szCs w:val="20"/>
          <w:color w:val="auto"/>
        </w:rPr>
      </w:pPr>
      <w:r>
        <w:rPr>
          <w:rFonts w:ascii="Calibri" w:cs="Calibri" w:eastAsia="Calibri" w:hAnsi="Calibri"/>
          <w:sz w:val="17"/>
          <w:szCs w:val="17"/>
          <w:b w:val="1"/>
          <w:bCs w:val="1"/>
          <w:color w:val="auto"/>
        </w:rPr>
        <w:t>Burlingame, California</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94010</w:t>
      </w:r>
    </w:p>
    <w:p>
      <w:pPr>
        <w:spacing w:after="0" w:line="16"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624"/>
        <w:spacing w:after="0"/>
        <w:rPr>
          <w:sz w:val="20"/>
          <w:szCs w:val="20"/>
          <w:color w:val="auto"/>
        </w:rPr>
      </w:pPr>
      <w:r>
        <w:rPr>
          <w:rFonts w:ascii="Calibri" w:cs="Calibri" w:eastAsia="Calibri" w:hAnsi="Calibri"/>
          <w:sz w:val="14"/>
          <w:szCs w:val="14"/>
          <w:b w:val="1"/>
          <w:bCs w:val="1"/>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24" w:space="720"/>
            <w:col w:w="2980"/>
          </w:cols>
          <w:pgMar w:left="436" w:top="382" w:right="439" w:bottom="1440" w:gutter="0" w:footer="0" w:header="0"/>
          <w:type w:val="continuous"/>
        </w:sectPr>
      </w:pPr>
    </w:p>
    <w:p>
      <w:pPr>
        <w:jc w:val="center"/>
        <w:ind w:right="-3"/>
        <w:spacing w:after="0"/>
        <w:rPr>
          <w:sz w:val="20"/>
          <w:szCs w:val="20"/>
          <w:color w:val="auto"/>
        </w:rPr>
      </w:pPr>
      <w:r>
        <w:rPr>
          <w:rFonts w:ascii="Calibri" w:cs="Calibri" w:eastAsia="Calibri" w:hAnsi="Calibri"/>
          <w:sz w:val="18"/>
          <w:szCs w:val="18"/>
          <w:b w:val="1"/>
          <w:bCs w:val="1"/>
          <w:color w:val="auto"/>
        </w:rPr>
        <w:t>Registrant’s telephone number, including area code: 650-547-5814</w:t>
      </w:r>
    </w:p>
    <w:p>
      <w:pPr>
        <w:spacing w:after="0" w:line="145" w:lineRule="exact"/>
        <w:rPr>
          <w:sz w:val="24"/>
          <w:szCs w:val="24"/>
          <w:color w:val="auto"/>
        </w:rPr>
      </w:pPr>
    </w:p>
    <w:p>
      <w:pPr>
        <w:jc w:val="center"/>
        <w:ind w:right="-3"/>
        <w:spacing w:after="0"/>
        <w:rPr>
          <w:sz w:val="20"/>
          <w:szCs w:val="20"/>
          <w:color w:val="auto"/>
        </w:rPr>
      </w:pPr>
      <w:r>
        <w:rPr>
          <w:rFonts w:ascii="Calibri" w:cs="Calibri" w:eastAsia="Calibri" w:hAnsi="Calibri"/>
          <w:sz w:val="18"/>
          <w:szCs w:val="18"/>
          <w:b w:val="1"/>
          <w:bCs w:val="1"/>
          <w:color w:val="auto"/>
        </w:rPr>
        <w:t>Not Applicable</w:t>
      </w:r>
    </w:p>
    <w:p>
      <w:pPr>
        <w:spacing w:after="0" w:line="8" w:lineRule="exact"/>
        <w:rPr>
          <w:sz w:val="24"/>
          <w:szCs w:val="24"/>
          <w:color w:val="auto"/>
        </w:rPr>
      </w:pPr>
    </w:p>
    <w:p>
      <w:pPr>
        <w:jc w:val="center"/>
        <w:ind w:right="-3"/>
        <w:spacing w:after="0"/>
        <w:rPr>
          <w:sz w:val="20"/>
          <w:szCs w:val="20"/>
          <w:color w:val="auto"/>
        </w:rPr>
      </w:pPr>
      <w:r>
        <w:rPr>
          <w:rFonts w:ascii="Calibri" w:cs="Calibri" w:eastAsia="Calibri" w:hAnsi="Calibri"/>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ind w:left="4" w:right="4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u w:val="single" w:color="auto"/>
          <w:color w:val="auto"/>
        </w:rPr>
        <w:t>see</w:t>
      </w:r>
      <w:r>
        <w:rPr>
          <w:rFonts w:ascii="Calibri" w:cs="Calibri" w:eastAsia="Calibri" w:hAnsi="Calibri"/>
          <w:sz w:val="18"/>
          <w:szCs w:val="18"/>
          <w:color w:val="auto"/>
        </w:rPr>
        <w:t xml:space="preserve"> General Instructon A.2. below):</w:t>
      </w:r>
    </w:p>
    <w:p>
      <w:pPr>
        <w:spacing w:after="0" w:line="11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131" w:lineRule="exact"/>
        <w:rPr>
          <w:rFonts w:ascii="MS PGothic" w:cs="MS PGothic" w:eastAsia="MS PGothic" w:hAnsi="MS PGothic"/>
          <w:sz w:val="18"/>
          <w:szCs w:val="18"/>
          <w:color w:val="auto"/>
        </w:rPr>
      </w:pPr>
    </w:p>
    <w:p>
      <w:pPr>
        <w:ind w:left="3424"/>
        <w:spacing w:after="0"/>
        <w:rPr>
          <w:rFonts w:ascii="MS PGothic" w:cs="MS PGothic" w:eastAsia="MS PGothic" w:hAnsi="MS PGothic"/>
          <w:sz w:val="18"/>
          <w:szCs w:val="18"/>
          <w:color w:val="auto"/>
        </w:rPr>
      </w:pPr>
      <w:r>
        <w:rPr>
          <w:rFonts w:ascii="Calibri" w:cs="Calibri" w:eastAsia="Calibri" w:hAnsi="Calibri"/>
          <w:sz w:val="18"/>
          <w:szCs w:val="18"/>
          <w:b w:val="1"/>
          <w:bCs w:val="1"/>
          <w:color w:val="auto"/>
        </w:rPr>
        <w:t>Securites registered pursuant to Secton 12(b) of the Act:</w:t>
      </w:r>
    </w:p>
    <w:p>
      <w:pPr>
        <w:spacing w:after="0" w:line="157"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Trading</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8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Symbol(s)</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c>
          <w:tcPr>
            <w:tcW w:w="0" w:type="dxa"/>
            <w:vAlign w:val="bottom"/>
          </w:tcPr>
          <w:p>
            <w:pPr>
              <w:spacing w:after="0"/>
              <w:rPr>
                <w:sz w:val="1"/>
                <w:szCs w:val="1"/>
                <w:color w:val="auto"/>
              </w:rPr>
            </w:pPr>
          </w:p>
        </w:tc>
      </w:tr>
      <w:tr>
        <w:trPr>
          <w:trHeight w:val="33"/>
        </w:trPr>
        <w:tc>
          <w:tcPr>
            <w:tcW w:w="37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$0.001 per share</w:t>
            </w:r>
          </w:p>
        </w:tc>
        <w:tc>
          <w:tcPr>
            <w:tcW w:w="120" w:type="dxa"/>
            <w:vAlign w:val="bottom"/>
            <w:vMerge w:val="continue"/>
          </w:tcPr>
          <w:p>
            <w:pPr>
              <w:spacing w:after="0"/>
              <w:rPr>
                <w:sz w:val="18"/>
                <w:szCs w:val="18"/>
                <w:color w:val="auto"/>
              </w:rPr>
            </w:pPr>
          </w:p>
        </w:tc>
        <w:tc>
          <w:tcPr>
            <w:tcW w:w="3520" w:type="dxa"/>
            <w:vAlign w:val="bottom"/>
          </w:tcPr>
          <w:p>
            <w:pPr>
              <w:jc w:val="center"/>
              <w:spacing w:after="0" w:line="208" w:lineRule="exact"/>
              <w:rPr>
                <w:sz w:val="20"/>
                <w:szCs w:val="20"/>
                <w:color w:val="auto"/>
              </w:rPr>
            </w:pPr>
            <w:r>
              <w:rPr>
                <w:rFonts w:ascii="Calibri" w:cs="Calibri" w:eastAsia="Calibri" w:hAnsi="Calibri"/>
                <w:sz w:val="18"/>
                <w:szCs w:val="18"/>
                <w:color w:val="auto"/>
                <w:w w:val="94"/>
              </w:rPr>
              <w:t>ELVN</w:t>
            </w:r>
          </w:p>
        </w:tc>
        <w:tc>
          <w:tcPr>
            <w:tcW w:w="100" w:type="dxa"/>
            <w:vAlign w:val="bottom"/>
            <w:vMerge w:val="continue"/>
          </w:tcPr>
          <w:p>
            <w:pPr>
              <w:spacing w:after="0"/>
              <w:rPr>
                <w:sz w:val="18"/>
                <w:szCs w:val="18"/>
                <w:color w:val="auto"/>
              </w:rPr>
            </w:pPr>
          </w:p>
        </w:tc>
        <w:tc>
          <w:tcPr>
            <w:tcW w:w="35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The Nasdaq Global Select Market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4" w:right="50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 230.405 of this chapter) or Rule 12b-2 of the Securites Exchange Act of 1934 (§ 240.12b-2 of this chapter).</w:t>
      </w:r>
    </w:p>
    <w:p>
      <w:pPr>
        <w:spacing w:after="0" w:line="114" w:lineRule="exact"/>
        <w:rPr>
          <w:sz w:val="24"/>
          <w:szCs w:val="24"/>
          <w:color w:val="auto"/>
        </w:rPr>
      </w:pPr>
    </w:p>
    <w:p>
      <w:pPr>
        <w:ind w:left="4"/>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81" w:lineRule="exact"/>
        <w:rPr>
          <w:sz w:val="24"/>
          <w:szCs w:val="24"/>
          <w:color w:val="auto"/>
        </w:rPr>
      </w:pPr>
    </w:p>
    <w:p>
      <w:pPr>
        <w:ind w:left="4" w:right="8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Calibri" w:cs="Calibri" w:eastAsia="Calibri" w:hAnsi="Calibri"/>
          <w:sz w:val="18"/>
          <w:szCs w:val="18"/>
          <w:b w:val="1"/>
          <w:bCs w:val="1"/>
          <w:color w:val="auto"/>
        </w:rPr>
        <w:t>Entry into a Material Defnitve Agreement.</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June 11, 2026, Enliven Therapeutcs, Inc. (the “Company”) entered into an underwritng agreement (the “Underwritng Agreement”) with Jeferies LLC, Goldman Sachs &amp; Co. LLC, Morgan Stanley &amp; Co. LLC and Barclays Capital Inc. as representatves (the “Representatves”) of the several underwriters named therein (collectvely, the “Underwriters”), relatng to the issuance and sale in a public ofering (the “Ofering”) of 8,933,334 shares of the Company’s common stock, par value $0.001 per share, at a price to the public of $37.50 per share (the “Firm Shares”), and, in lieu of Firm Shares to certain investors, pre-funded warrants to purchase 1,733,333 Shares (the “Pre-Funded Warrants”) at a price to the public of $37.499 per Pre-Funded Warrant, which represents the per share public ofering price for the Firm Shares less the $0.001 exercise price for each such Pre-Funded Warrant. Additonally, the Company has granted the Underwriters an opton exercisable for 30 days from the date of the Underwritng Agreement to purchase up to an additonal 1,600,000 shares of common stock (together with the Firm Shares, the “Shares”) at the public ofering price, less underwritng discounts and commissions. All of the Shares and Pre-Funded Warrants in the Ofering are being sold by the Company.</w:t>
      </w:r>
    </w:p>
    <w:p>
      <w:pPr>
        <w:spacing w:after="0" w:line="224" w:lineRule="exact"/>
        <w:rPr>
          <w:sz w:val="20"/>
          <w:szCs w:val="20"/>
          <w:color w:val="auto"/>
        </w:rPr>
      </w:pPr>
    </w:p>
    <w:p>
      <w:pPr>
        <w:ind w:right="80"/>
        <w:spacing w:after="0" w:line="254" w:lineRule="auto"/>
        <w:rPr>
          <w:sz w:val="20"/>
          <w:szCs w:val="20"/>
          <w:color w:val="auto"/>
        </w:rPr>
      </w:pPr>
      <w:r>
        <w:rPr>
          <w:rFonts w:ascii="Calibri" w:cs="Calibri" w:eastAsia="Calibri" w:hAnsi="Calibri"/>
          <w:sz w:val="17"/>
          <w:szCs w:val="17"/>
          <w:color w:val="auto"/>
        </w:rPr>
        <w:t>The net proceeds to the Company from the Ofering are expected to be approximately $376.0 million, or approximately $432.4 million if the Underwriters exercise in full their opton to purchase additonal shares, in each case afer deductng underwritng discounts and commissions and estmated ofering expenses payable by the Company. The Ofering is expected to close on June 15, 2026, subject to the satsfacton of customary closing conditons.</w:t>
      </w:r>
    </w:p>
    <w:p>
      <w:pPr>
        <w:spacing w:after="0" w:line="20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 Underwritng Agreement contains customary representatons, warrantes and agreements by the Company, customary conditons to closing, indemnifcaton obligatons of the Company and the Underwriters, including for liabilites under the Securites Act of 1933, as amended (the “Securites Act”), other obligatons of the partes and terminaton provisions. The representatons, warrantes and covenants contained in the Underwritng Agreement were made only for purposes of such agreement and as of specifc dates, were solely for the beneft of the partes to such agreement and may be subject to limitatons agreed upon by such partes.</w:t>
      </w:r>
    </w:p>
    <w:p>
      <w:pPr>
        <w:spacing w:after="0" w:line="220" w:lineRule="exact"/>
        <w:rPr>
          <w:sz w:val="20"/>
          <w:szCs w:val="20"/>
          <w:color w:val="auto"/>
        </w:rPr>
      </w:pPr>
    </w:p>
    <w:p>
      <w:pPr>
        <w:jc w:val="both"/>
        <w:ind w:right="800"/>
        <w:spacing w:after="0" w:line="235" w:lineRule="auto"/>
        <w:rPr>
          <w:sz w:val="20"/>
          <w:szCs w:val="20"/>
          <w:color w:val="auto"/>
        </w:rPr>
      </w:pPr>
      <w:r>
        <w:rPr>
          <w:rFonts w:ascii="Calibri" w:cs="Calibri" w:eastAsia="Calibri" w:hAnsi="Calibri"/>
          <w:sz w:val="18"/>
          <w:szCs w:val="18"/>
          <w:color w:val="auto"/>
        </w:rPr>
        <w:t>The Ofering is being made pursuant to the Company’s efectve registraton statement on Form S-3ASR (File No. 333-289582) (the “Registraton Statement”), which became efectve automatcally upon fling with the Securites and Exchange Commission (the “SEC”) on August 13, 2025, as supplemented by a prospectus supplement, dated June 11, 2026.</w:t>
      </w:r>
    </w:p>
    <w:p>
      <w:pPr>
        <w:spacing w:after="0" w:line="21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Each Pre-Funded Warrant will have an exercise price of $0.001 per share. The exercise price of the Pre-Funded Warrants and the number of shares of common stock issuable upon exercise of each Pre-Funded Warrant are subject to appropriate adjustments in the event of certain stock dividends and distributons, stock splits, stock combinatons, reclassifcatons or similar events afectng the common stock. The Pre-Funded Warrants are exercisable from the date of issuance and do not expire. Each Pre-Funded Warrant is exercisable, in the holder’s discreton, by (i) payment in full in immediately available funds for the number of shares of common stock purchased upon exercise, or (ii) a cashless exercise, in which case the holder would receive upon such exercise the net number of shares of common stock determined according to the formula set forth in the Pre-Funded Warrant. Under the Pre-Funded Warrants, the Company may not efect the exercise of any Pre-Funded Warrants, and a holder will not be enttled to exercise any porton of any Pre-Funded Warrant that, upon giving efect to such exercise, would result in the aggregate number of shares of common stock benefcially owned by such holder (together with its afliates) exceeding 4.99% (or at the electon of such holder prior to the issuance of such warrant, 9.99%) of the total number of shares of common stock issued and outstanding following such exercise, as such percentage ownership is determined in accordance with the terms of the Pre-Funded Warrants, which percentage may be changed at the holder’s electon to a higher or lower percentage not in excess of 19.99% upon at least 61 days’ notce to the Company.</w:t>
      </w:r>
    </w:p>
    <w:p>
      <w:pPr>
        <w:spacing w:after="0" w:line="226"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In the event of a Fundamental Transacton (as defned in the Pre-Funded Warrants), a holder of Pre-Funded Warrants will be enttled to receive, upon exercise of the Pre-Funded Warrants, the same amount and kind of securites, cash or property that such holder would have received had they exercised the Pre-Funded Warrants immediately prior to such Fundamental Transacton without regard to any limitatons on exercise contained in the Pre-Funded Warrants.</w:t>
      </w:r>
    </w:p>
    <w:p>
      <w:pPr>
        <w:sectPr>
          <w:pgSz w:w="11900" w:h="16838" w:orient="portrait"/>
          <w:cols w:equalWidth="0" w:num="1">
            <w:col w:w="11000"/>
          </w:cols>
          <w:pgMar w:left="440" w:top="288" w:right="459" w:bottom="1440" w:gutter="0" w:footer="0" w:header="0"/>
        </w:sectPr>
      </w:pPr>
    </w:p>
    <w:bookmarkStart w:id="2" w:name="page3"/>
    <w:bookmarkEnd w:id="2"/>
    <w:p>
      <w:pPr>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descriptons of the terms of the Underwritng Agreement and the Pre-Funded Warrants do not purport to be complete and are each qualifed in their entrety by reference to the Underwritng Agreement and the form of Pre-Funded Warrant, respectvely, which are fled as Exhibit 1.1 and Exhibit 4.1 hereto and are incorporated herein by reference.</w:t>
      </w:r>
    </w:p>
    <w:p>
      <w:pPr>
        <w:spacing w:after="0" w:line="21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A copy of the opinion of Wilson Sonsini Goodrich &amp; Rosat, P.C. relatng to the validity of the Shares, the Pre-Funded Warrants and the shares underlying the Pre-Funded Warrants is fled as Exhibit 5.1 hereto and is incorporated by reference into the Registraton Statement.</w:t>
      </w:r>
    </w:p>
    <w:p>
      <w:pPr>
        <w:spacing w:after="0" w:line="361" w:lineRule="exact"/>
        <w:rPr>
          <w:sz w:val="20"/>
          <w:szCs w:val="20"/>
          <w:color w:val="auto"/>
        </w:rPr>
      </w:pPr>
    </w:p>
    <w:p>
      <w:pPr>
        <w:spacing w:after="0"/>
        <w:tabs>
          <w:tab w:leader="none" w:pos="1180" w:val="left"/>
        </w:tabs>
        <w:rPr>
          <w:sz w:val="20"/>
          <w:szCs w:val="20"/>
          <w:color w:val="auto"/>
        </w:rPr>
      </w:pPr>
      <w:r>
        <w:rPr>
          <w:rFonts w:ascii="Calibri" w:cs="Calibri" w:eastAsia="Calibri" w:hAnsi="Calibri"/>
          <w:sz w:val="18"/>
          <w:szCs w:val="18"/>
          <w:b w:val="1"/>
          <w:bCs w:val="1"/>
          <w:color w:val="auto"/>
        </w:rPr>
        <w:t>Item 7.01</w:t>
      </w:r>
      <w:r>
        <w:rPr>
          <w:sz w:val="20"/>
          <w:szCs w:val="20"/>
          <w:color w:val="auto"/>
        </w:rPr>
        <w:tab/>
      </w:r>
      <w:r>
        <w:rPr>
          <w:rFonts w:ascii="Calibri" w:cs="Calibri" w:eastAsia="Calibri" w:hAnsi="Calibri"/>
          <w:sz w:val="18"/>
          <w:szCs w:val="18"/>
          <w:b w:val="1"/>
          <w:bCs w:val="1"/>
          <w:color w:val="auto"/>
        </w:rPr>
        <w:t>Regulaton FD Disclosure.</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On June 11, 2026, the Company issued a press release announcing the pricing of the Ofering. A copy of this press release is furnished as Exhibit 99.1 to this Current Report on Form 8-K.</w:t>
      </w:r>
    </w:p>
    <w:p>
      <w:pPr>
        <w:spacing w:after="0" w:line="21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informaton contained in this Item 7.01, including the related informaton set forth in the press release atached hereto as Exhibit 99.1, is being “furnished” and shall not be deemed “fled” with the Securites and Exchange Commission for the purposes of Secton 18 of the Securites Exchange Act of 1934, as amended (the “Exchange Act”) or otherwise subject to the liabilites of that secton and is not incorporated by reference into any fling of the Company under the Securites Act of 1933, as amended, or the Exchange Act, whether made before or afer the date hereof, except as shall be expressly set forth by specifc reference in such a fling.</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Cautonary Note Regarding Forward-Looking Statements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Current Report on Form 8-K contains forward-looking statements (including within the meaning of Secton 21E of the Securites Exchange Act of 1934, as amended, and Secton 27A of the Securites Act of 1933, as amended) concerning the Company and other maters that involve substantal risks and uncertaintes. These statements may discuss goals, intentons and expectatons as to future plans, events, or otherwise, based on current beliefs of the management of the Company, as well as assumptons made by, and informaton currently available to, management of the Company. Forward-looking statements generally include statements that are predictve in nature and depend upon or refer to future events or conditons, and include words such as “may,” “will,” “should,” “would,” “expect,” “antcipate,” “plan,” “likely,” “believe,” “estmate,” “project,” “intend,” and other similar expressions or the negatve or plural of these words, or other similar expressions that are predictons or indicate future events or prospects, although not all forward-looking statements contain these words. Statements that are not historical facts are forward-looking statements. Forward-looking statements in this Current Report on Form 8-K include, but are not limited to, statements about the Company’s expectatons regarding the expected net proceeds from the Ofering and the expected closing date of the Ofering. Forward-looking statements are based on current beliefs and assumptons that are subject to risks and uncertaintes and are not guarantees of future performance. Actual results could difer materially from those contained in any forward-looking statement as a result of various risks and uncertaintes, including, without limitaton: uncertaintes related to market conditons and the satsfacton of customary closing conditons related to the Ofering, and other risks and uncertaintes, including those more fully described in the Company’s flings with the SEC, which may be found in the secton ttled “Risk Factors” in the Company’s Annual and Quarterly Reports on Form 10-K and 10-Q fled with the SEC and in the Company’s future reports to be fled with the SEC. Except as required by applicable law, the Company undertakes no obligaton to revise or update any forward-looking statement, or to make any other forward-looking statements, whether as a result of new informaton, future events or otherwise. However, readers should carefully review the reports and documents the Company fles or furnishes from tme to tme with the SEC, partcularly its Annual Reports on Form 10-K, Quarterly Reports on Form 10-Q, and Current Reports on Form 8-K.</w:t>
      </w:r>
    </w:p>
    <w:p>
      <w:pPr>
        <w:spacing w:after="0" w:line="376" w:lineRule="exact"/>
        <w:rPr>
          <w:sz w:val="20"/>
          <w:szCs w:val="20"/>
          <w:color w:val="auto"/>
        </w:rPr>
      </w:pPr>
    </w:p>
    <w:p>
      <w:pPr>
        <w:spacing w:after="0"/>
        <w:tabs>
          <w:tab w:leader="none" w:pos="1180" w:val="left"/>
        </w:tabs>
        <w:rPr>
          <w:sz w:val="20"/>
          <w:szCs w:val="20"/>
          <w:color w:val="auto"/>
        </w:rPr>
      </w:pPr>
      <w:r>
        <w:rPr>
          <w:rFonts w:ascii="Calibri" w:cs="Calibri" w:eastAsia="Calibri" w:hAnsi="Calibri"/>
          <w:sz w:val="18"/>
          <w:szCs w:val="18"/>
          <w:b w:val="1"/>
          <w:bCs w:val="1"/>
          <w:color w:val="auto"/>
        </w:rPr>
        <w:t>Item 9.01</w:t>
      </w:r>
      <w:r>
        <w:rPr>
          <w:sz w:val="20"/>
          <w:szCs w:val="20"/>
          <w:color w:val="auto"/>
        </w:rPr>
        <w:tab/>
      </w:r>
      <w:r>
        <w:rPr>
          <w:rFonts w:ascii="Calibri" w:cs="Calibri" w:eastAsia="Calibri" w:hAnsi="Calibri"/>
          <w:sz w:val="18"/>
          <w:szCs w:val="18"/>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 Exhibits</w:t>
      </w:r>
    </w:p>
    <w:p>
      <w:pPr>
        <w:sectPr>
          <w:pgSz w:w="11900" w:h="16838" w:orient="portrait"/>
          <w:cols w:equalWidth="0" w:num="1">
            <w:col w:w="10980"/>
          </w:cols>
          <w:pgMar w:left="440" w:top="293" w:right="479" w:bottom="1440" w:gutter="0" w:footer="0" w:header="0"/>
        </w:sectPr>
      </w:pPr>
    </w:p>
    <w:bookmarkStart w:id="3" w:name="page4"/>
    <w:bookmarkEnd w:id="3"/>
    <w:p>
      <w:pPr>
        <w:ind w:left="4"/>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See the Exhibit Index below, which is incorporated by reference herein.</w:t>
      </w:r>
    </w:p>
    <w:p>
      <w:pPr>
        <w:spacing w:after="0" w:line="200" w:lineRule="exact"/>
        <w:rPr>
          <w:sz w:val="20"/>
          <w:szCs w:val="20"/>
          <w:color w:val="auto"/>
        </w:rPr>
      </w:pPr>
    </w:p>
    <w:p>
      <w:pPr>
        <w:spacing w:after="0" w:line="228" w:lineRule="exact"/>
        <w:rPr>
          <w:sz w:val="20"/>
          <w:szCs w:val="20"/>
          <w:color w:val="auto"/>
        </w:rPr>
      </w:pPr>
    </w:p>
    <w:p>
      <w:pPr>
        <w:ind w:left="4984"/>
        <w:spacing w:after="0"/>
        <w:rPr>
          <w:sz w:val="20"/>
          <w:szCs w:val="20"/>
          <w:color w:val="auto"/>
        </w:rPr>
      </w:pPr>
      <w:r>
        <w:rPr>
          <w:rFonts w:ascii="Calibri" w:cs="Calibri" w:eastAsia="Calibri" w:hAnsi="Calibri"/>
          <w:sz w:val="18"/>
          <w:szCs w:val="18"/>
          <w:b w:val="1"/>
          <w:bCs w:val="1"/>
          <w:color w:val="auto"/>
        </w:rPr>
        <w:t>EXHIBIT INDEX</w:t>
      </w:r>
    </w:p>
    <w:p>
      <w:pPr>
        <w:spacing w:after="0" w:line="251" w:lineRule="exact"/>
        <w:rPr>
          <w:sz w:val="20"/>
          <w:szCs w:val="20"/>
          <w:color w:val="auto"/>
        </w:rPr>
      </w:pPr>
    </w:p>
    <w:p>
      <w:pPr>
        <w:ind w:left="4"/>
        <w:spacing w:after="0"/>
        <w:rPr>
          <w:sz w:val="20"/>
          <w:szCs w:val="20"/>
          <w:color w:val="auto"/>
        </w:rPr>
      </w:pPr>
      <w:r>
        <w:rPr>
          <w:rFonts w:ascii="Calibri" w:cs="Calibri" w:eastAsia="Calibri" w:hAnsi="Calibri"/>
          <w:sz w:val="14"/>
          <w:szCs w:val="14"/>
          <w:b w:val="1"/>
          <w:bCs w:val="1"/>
          <w:color w:val="auto"/>
        </w:rPr>
        <w:t>Exhibit</w:t>
      </w:r>
    </w:p>
    <w:p>
      <w:pPr>
        <w:spacing w:after="0" w:line="5" w:lineRule="exact"/>
        <w:rPr>
          <w:sz w:val="20"/>
          <w:szCs w:val="20"/>
          <w:color w:val="auto"/>
        </w:rPr>
      </w:pPr>
    </w:p>
    <w:p>
      <w:pPr>
        <w:ind w:left="104"/>
        <w:spacing w:after="0"/>
        <w:tabs>
          <w:tab w:leader="none" w:pos="824" w:val="left"/>
        </w:tabs>
        <w:rPr>
          <w:sz w:val="20"/>
          <w:szCs w:val="20"/>
          <w:color w:val="auto"/>
        </w:rPr>
      </w:pPr>
      <w:r>
        <w:rPr>
          <w:rFonts w:ascii="Calibri" w:cs="Calibri" w:eastAsia="Calibri" w:hAnsi="Calibri"/>
          <w:sz w:val="14"/>
          <w:szCs w:val="14"/>
          <w:b w:val="1"/>
          <w:bCs w:val="1"/>
          <w:color w:val="auto"/>
        </w:rPr>
        <w:t>No.</w:t>
      </w:r>
      <w:r>
        <w:rPr>
          <w:sz w:val="20"/>
          <w:szCs w:val="20"/>
          <w:color w:val="auto"/>
        </w:rPr>
        <w:tab/>
      </w:r>
      <w:r>
        <w:rPr>
          <w:rFonts w:ascii="Calibri" w:cs="Calibri" w:eastAsia="Calibri" w:hAnsi="Calibri"/>
          <w:sz w:val="14"/>
          <w:szCs w:val="14"/>
          <w:b w:val="1"/>
          <w:bCs w:val="1"/>
          <w:color w:val="auto"/>
        </w:rPr>
        <w:t>Descripton</w:t>
      </w:r>
    </w:p>
    <w:p>
      <w:pPr>
        <w:spacing w:after="0" w:line="119" w:lineRule="exact"/>
        <w:rPr>
          <w:sz w:val="20"/>
          <w:szCs w:val="20"/>
          <w:color w:val="auto"/>
        </w:rPr>
      </w:pPr>
    </w:p>
    <w:p>
      <w:pPr>
        <w:ind w:left="84" w:hanging="84"/>
        <w:spacing w:after="0"/>
        <w:tabs>
          <w:tab w:leader="none" w:pos="84" w:val="left"/>
        </w:tabs>
        <w:numPr>
          <w:ilvl w:val="0"/>
          <w:numId w:val="2"/>
        </w:numPr>
        <w:rPr>
          <w:rFonts w:ascii="Calibri" w:cs="Calibri" w:eastAsia="Calibri" w:hAnsi="Calibri"/>
          <w:sz w:val="15"/>
          <w:szCs w:val="15"/>
          <w:color w:val="auto"/>
        </w:rPr>
      </w:pPr>
      <w:r>
        <w:rPr>
          <w:rFonts w:ascii="Calibri" w:cs="Calibri" w:eastAsia="Calibri" w:hAnsi="Calibri"/>
          <w:sz w:val="15"/>
          <w:szCs w:val="15"/>
          <w:color w:val="auto"/>
        </w:rPr>
        <w:t>1.1</w:t>
      </w:r>
      <w:r>
        <w:rPr>
          <w:rFonts w:ascii="Calibri" w:cs="Calibri" w:eastAsia="Calibri" w:hAnsi="Calibri"/>
          <w:sz w:val="17"/>
          <w:szCs w:val="17"/>
          <w:u w:val="single" w:color="auto"/>
          <w:color w:val="0000EE"/>
        </w:rPr>
        <w:t>Underwritng Agreement, dated as of June 11, 2026, among Enliven Therapeutcs, Inc. and the Representatves.</w:t>
      </w:r>
    </w:p>
    <w:p>
      <w:pPr>
        <w:spacing w:after="0" w:line="116" w:lineRule="exact"/>
        <w:rPr>
          <w:rFonts w:ascii="Calibri" w:cs="Calibri" w:eastAsia="Calibri" w:hAnsi="Calibri"/>
          <w:sz w:val="15"/>
          <w:szCs w:val="15"/>
          <w:color w:val="auto"/>
        </w:rPr>
      </w:pPr>
    </w:p>
    <w:p>
      <w:pPr>
        <w:ind w:left="84" w:hanging="84"/>
        <w:spacing w:after="0"/>
        <w:tabs>
          <w:tab w:leader="none" w:pos="84" w:val="left"/>
        </w:tabs>
        <w:numPr>
          <w:ilvl w:val="0"/>
          <w:numId w:val="2"/>
        </w:numPr>
        <w:rPr>
          <w:rFonts w:ascii="Calibri" w:cs="Calibri" w:eastAsia="Calibri" w:hAnsi="Calibri"/>
          <w:sz w:val="15"/>
          <w:szCs w:val="15"/>
          <w:color w:val="auto"/>
        </w:rPr>
      </w:pPr>
      <w:r>
        <w:rPr>
          <w:rFonts w:ascii="Calibri" w:cs="Calibri" w:eastAsia="Calibri" w:hAnsi="Calibri"/>
          <w:sz w:val="15"/>
          <w:szCs w:val="15"/>
          <w:color w:val="auto"/>
        </w:rPr>
        <w:t>4.1</w:t>
      </w:r>
      <w:r>
        <w:rPr>
          <w:rFonts w:ascii="Calibri" w:cs="Calibri" w:eastAsia="Calibri" w:hAnsi="Calibri"/>
          <w:sz w:val="17"/>
          <w:szCs w:val="17"/>
          <w:u w:val="single" w:color="auto"/>
          <w:color w:val="0000EE"/>
        </w:rPr>
        <w:t>Form of Pre-Funded Warrant.</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Calibri" w:cs="Calibri" w:eastAsia="Calibri" w:hAnsi="Calibri"/>
                <w:sz w:val="18"/>
                <w:szCs w:val="18"/>
                <w:color w:val="auto"/>
              </w:rPr>
              <w:t>  5.1</w:t>
            </w:r>
          </w:p>
        </w:tc>
        <w:tc>
          <w:tcPr>
            <w:tcW w:w="3480" w:type="dxa"/>
            <w:vAlign w:val="bottom"/>
            <w:tcBorders>
              <w:bottom w:val="single" w:sz="8" w:color="0000EE"/>
            </w:tcBorders>
            <w:gridSpan w:val="2"/>
          </w:tcPr>
          <w:p>
            <w:pPr>
              <w:spacing w:after="0"/>
              <w:rPr>
                <w:sz w:val="20"/>
                <w:szCs w:val="20"/>
                <w:color w:val="auto"/>
              </w:rPr>
            </w:pPr>
            <w:r>
              <w:rPr>
                <w:rFonts w:ascii="Calibri" w:cs="Calibri" w:eastAsia="Calibri" w:hAnsi="Calibri"/>
                <w:sz w:val="18"/>
                <w:szCs w:val="18"/>
                <w:color w:val="0000EE"/>
                <w:w w:val="97"/>
              </w:rPr>
              <w:t>Opinion of Wilson Sonsini Goodrich &amp; Rosat, P.C.</w:t>
            </w:r>
          </w:p>
        </w:tc>
        <w:tc>
          <w:tcPr>
            <w:tcW w:w="2080" w:type="dxa"/>
            <w:vAlign w:val="bottom"/>
            <w:gridSpan w:val="2"/>
          </w:tcPr>
          <w:p>
            <w:pPr>
              <w:spacing w:after="0"/>
              <w:rPr>
                <w:sz w:val="19"/>
                <w:szCs w:val="19"/>
                <w:color w:val="auto"/>
              </w:rPr>
            </w:pPr>
          </w:p>
        </w:tc>
      </w:tr>
      <w:tr>
        <w:trPr>
          <w:trHeight w:val="304"/>
        </w:trPr>
        <w:tc>
          <w:tcPr>
            <w:tcW w:w="840" w:type="dxa"/>
            <w:vAlign w:val="bottom"/>
          </w:tcPr>
          <w:p>
            <w:pPr>
              <w:spacing w:after="0"/>
              <w:rPr>
                <w:sz w:val="20"/>
                <w:szCs w:val="20"/>
                <w:color w:val="auto"/>
              </w:rPr>
            </w:pPr>
            <w:r>
              <w:rPr>
                <w:rFonts w:ascii="Calibri" w:cs="Calibri" w:eastAsia="Calibri" w:hAnsi="Calibri"/>
                <w:sz w:val="18"/>
                <w:szCs w:val="18"/>
                <w:color w:val="auto"/>
              </w:rPr>
              <w:t>23.1</w:t>
            </w:r>
          </w:p>
        </w:tc>
        <w:tc>
          <w:tcPr>
            <w:tcW w:w="5260" w:type="dxa"/>
            <w:vAlign w:val="bottom"/>
            <w:tcBorders>
              <w:bottom w:val="single" w:sz="8" w:color="0000EE"/>
            </w:tcBorders>
            <w:gridSpan w:val="3"/>
          </w:tcPr>
          <w:p>
            <w:pPr>
              <w:spacing w:after="0"/>
              <w:rPr>
                <w:sz w:val="20"/>
                <w:szCs w:val="20"/>
                <w:color w:val="auto"/>
              </w:rPr>
            </w:pPr>
            <w:r>
              <w:rPr>
                <w:rFonts w:ascii="Calibri" w:cs="Calibri" w:eastAsia="Calibri" w:hAnsi="Calibri"/>
                <w:sz w:val="18"/>
                <w:szCs w:val="18"/>
                <w:color w:val="0000EE"/>
                <w:w w:val="97"/>
              </w:rPr>
              <w:t>Consent of Wilson Sonsini Goodrich &amp; Rosat, P.C. (included in Exhibit 5.1).</w:t>
            </w:r>
          </w:p>
        </w:tc>
        <w:tc>
          <w:tcPr>
            <w:tcW w:w="300" w:type="dxa"/>
            <w:vAlign w:val="bottom"/>
          </w:tcPr>
          <w:p>
            <w:pPr>
              <w:spacing w:after="0"/>
              <w:rPr>
                <w:sz w:val="24"/>
                <w:szCs w:val="24"/>
                <w:color w:val="auto"/>
              </w:rPr>
            </w:pPr>
          </w:p>
        </w:tc>
      </w:tr>
      <w:tr>
        <w:trPr>
          <w:trHeight w:val="304"/>
        </w:trPr>
        <w:tc>
          <w:tcPr>
            <w:tcW w:w="840" w:type="dxa"/>
            <w:vAlign w:val="bottom"/>
          </w:tcPr>
          <w:p>
            <w:pPr>
              <w:spacing w:after="0"/>
              <w:rPr>
                <w:sz w:val="20"/>
                <w:szCs w:val="20"/>
                <w:color w:val="auto"/>
              </w:rPr>
            </w:pPr>
            <w:r>
              <w:rPr>
                <w:rFonts w:ascii="Calibri" w:cs="Calibri" w:eastAsia="Calibri" w:hAnsi="Calibri"/>
                <w:sz w:val="18"/>
                <w:szCs w:val="18"/>
                <w:color w:val="auto"/>
              </w:rPr>
              <w:t>99.1</w:t>
            </w:r>
          </w:p>
        </w:tc>
        <w:tc>
          <w:tcPr>
            <w:tcW w:w="2480" w:type="dxa"/>
            <w:vAlign w:val="bottom"/>
            <w:tcBorders>
              <w:bottom w:val="single" w:sz="8" w:color="0000EE"/>
            </w:tcBorders>
          </w:tcPr>
          <w:p>
            <w:pPr>
              <w:spacing w:after="0"/>
              <w:rPr>
                <w:sz w:val="20"/>
                <w:szCs w:val="20"/>
                <w:color w:val="auto"/>
              </w:rPr>
            </w:pPr>
            <w:r>
              <w:rPr>
                <w:rFonts w:ascii="Calibri" w:cs="Calibri" w:eastAsia="Calibri" w:hAnsi="Calibri"/>
                <w:sz w:val="18"/>
                <w:szCs w:val="18"/>
                <w:color w:val="0000EE"/>
                <w:w w:val="96"/>
              </w:rPr>
              <w:t>Press Release dated June 11, 2026.</w:t>
            </w:r>
          </w:p>
        </w:tc>
        <w:tc>
          <w:tcPr>
            <w:tcW w:w="3080" w:type="dxa"/>
            <w:vAlign w:val="bottom"/>
            <w:gridSpan w:val="3"/>
          </w:tcPr>
          <w:p>
            <w:pPr>
              <w:spacing w:after="0"/>
              <w:rPr>
                <w:sz w:val="24"/>
                <w:szCs w:val="24"/>
                <w:color w:val="auto"/>
              </w:rPr>
            </w:pPr>
          </w:p>
        </w:tc>
      </w:tr>
      <w:tr>
        <w:trPr>
          <w:trHeight w:val="334"/>
        </w:trPr>
        <w:tc>
          <w:tcPr>
            <w:tcW w:w="840" w:type="dxa"/>
            <w:vAlign w:val="bottom"/>
          </w:tcPr>
          <w:p>
            <w:pPr>
              <w:spacing w:after="0"/>
              <w:rPr>
                <w:sz w:val="20"/>
                <w:szCs w:val="20"/>
                <w:color w:val="auto"/>
              </w:rPr>
            </w:pPr>
            <w:r>
              <w:rPr>
                <w:rFonts w:ascii="Calibri" w:cs="Calibri" w:eastAsia="Calibri" w:hAnsi="Calibri"/>
                <w:sz w:val="18"/>
                <w:szCs w:val="18"/>
                <w:color w:val="auto"/>
              </w:rPr>
              <w:t>104</w:t>
            </w:r>
          </w:p>
        </w:tc>
        <w:tc>
          <w:tcPr>
            <w:tcW w:w="5560" w:type="dxa"/>
            <w:vAlign w:val="bottom"/>
            <w:gridSpan w:val="4"/>
          </w:tcPr>
          <w:p>
            <w:pPr>
              <w:spacing w:after="0"/>
              <w:rPr>
                <w:sz w:val="20"/>
                <w:szCs w:val="20"/>
                <w:color w:val="auto"/>
              </w:rPr>
            </w:pPr>
            <w:r>
              <w:rPr>
                <w:rFonts w:ascii="Calibri" w:cs="Calibri" w:eastAsia="Calibri" w:hAnsi="Calibri"/>
                <w:sz w:val="18"/>
                <w:szCs w:val="18"/>
                <w:color w:val="auto"/>
                <w:w w:val="97"/>
              </w:rPr>
              <w:t>Cover Page Interactve Data File (embedded within the Inline XBRL document).</w:t>
            </w:r>
          </w:p>
        </w:tc>
      </w:tr>
    </w:tbl>
    <w:p>
      <w:pPr>
        <w:sectPr>
          <w:pgSz w:w="11900" w:h="16838" w:orient="portrait"/>
          <w:cols w:equalWidth="0" w:num="1">
            <w:col w:w="10023"/>
          </w:cols>
          <w:pgMar w:left="436" w:top="288" w:right="1440"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7"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Calibri" w:cs="Calibri" w:eastAsia="Calibri" w:hAnsi="Calibri"/>
                <w:sz w:val="18"/>
                <w:szCs w:val="18"/>
                <w:b w:val="1"/>
                <w:bCs w:val="1"/>
                <w:color w:val="auto"/>
              </w:rPr>
              <w:t>Enliven Therapeutcs, Inc.</w:t>
            </w:r>
          </w:p>
        </w:tc>
      </w:tr>
      <w:tr>
        <w:trPr>
          <w:trHeight w:val="456"/>
        </w:trPr>
        <w:tc>
          <w:tcPr>
            <w:tcW w:w="3460" w:type="dxa"/>
            <w:vAlign w:val="bottom"/>
          </w:tcPr>
          <w:p>
            <w:pPr>
              <w:spacing w:after="0"/>
              <w:rPr>
                <w:sz w:val="20"/>
                <w:szCs w:val="20"/>
                <w:color w:val="auto"/>
              </w:rPr>
            </w:pPr>
            <w:r>
              <w:rPr>
                <w:rFonts w:ascii="Calibri" w:cs="Calibri" w:eastAsia="Calibri" w:hAnsi="Calibri"/>
                <w:sz w:val="18"/>
                <w:szCs w:val="18"/>
                <w:color w:val="auto"/>
              </w:rPr>
              <w:t>Date: June 12, 2026</w:t>
            </w:r>
          </w:p>
        </w:tc>
        <w:tc>
          <w:tcPr>
            <w:tcW w:w="2700" w:type="dxa"/>
            <w:vAlign w:val="bottom"/>
          </w:tcPr>
          <w:p>
            <w:pPr>
              <w:ind w:left="2060"/>
              <w:spacing w:after="0"/>
              <w:rPr>
                <w:sz w:val="20"/>
                <w:szCs w:val="20"/>
                <w:color w:val="auto"/>
              </w:rPr>
            </w:pPr>
            <w:r>
              <w:rPr>
                <w:rFonts w:ascii="Calibri" w:cs="Calibri" w:eastAsia="Calibri" w:hAnsi="Calibri"/>
                <w:sz w:val="18"/>
                <w:szCs w:val="18"/>
                <w:color w:val="auto"/>
              </w:rPr>
              <w:t>By:</w:t>
            </w:r>
          </w:p>
        </w:tc>
        <w:tc>
          <w:tcPr>
            <w:tcW w:w="486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rPr>
              <w:t>/s/ Benjamin Hohl</w:t>
            </w:r>
          </w:p>
        </w:tc>
      </w:tr>
      <w:tr>
        <w:trPr>
          <w:trHeight w:val="201"/>
        </w:trPr>
        <w:tc>
          <w:tcPr>
            <w:tcW w:w="3460" w:type="dxa"/>
            <w:vAlign w:val="bottom"/>
          </w:tcPr>
          <w:p>
            <w:pPr>
              <w:spacing w:after="0"/>
              <w:rPr>
                <w:sz w:val="17"/>
                <w:szCs w:val="17"/>
                <w:color w:val="auto"/>
              </w:rPr>
            </w:pPr>
          </w:p>
        </w:tc>
        <w:tc>
          <w:tcPr>
            <w:tcW w:w="2700" w:type="dxa"/>
            <w:vAlign w:val="bottom"/>
          </w:tcPr>
          <w:p>
            <w:pPr>
              <w:ind w:left="2060"/>
              <w:spacing w:after="0" w:line="199" w:lineRule="exact"/>
              <w:rPr>
                <w:sz w:val="20"/>
                <w:szCs w:val="20"/>
                <w:color w:val="auto"/>
              </w:rPr>
            </w:pPr>
            <w:r>
              <w:rPr>
                <w:rFonts w:ascii="Calibri" w:cs="Calibri" w:eastAsia="Calibri" w:hAnsi="Calibri"/>
                <w:sz w:val="18"/>
                <w:szCs w:val="18"/>
                <w:color w:val="auto"/>
              </w:rPr>
              <w:t>Name:</w:t>
            </w:r>
          </w:p>
        </w:tc>
        <w:tc>
          <w:tcPr>
            <w:tcW w:w="4860" w:type="dxa"/>
            <w:vAlign w:val="bottom"/>
          </w:tcPr>
          <w:p>
            <w:pPr>
              <w:spacing w:after="0" w:line="201" w:lineRule="exact"/>
              <w:rPr>
                <w:sz w:val="20"/>
                <w:szCs w:val="20"/>
                <w:color w:val="auto"/>
              </w:rPr>
            </w:pPr>
            <w:r>
              <w:rPr>
                <w:rFonts w:ascii="Calibri" w:cs="Calibri" w:eastAsia="Calibri" w:hAnsi="Calibri"/>
                <w:sz w:val="18"/>
                <w:szCs w:val="18"/>
                <w:color w:val="auto"/>
              </w:rPr>
              <w:t>Benjamin Hohl</w:t>
            </w:r>
          </w:p>
        </w:tc>
      </w:tr>
      <w:tr>
        <w:trPr>
          <w:trHeight w:val="215"/>
        </w:trPr>
        <w:tc>
          <w:tcPr>
            <w:tcW w:w="3460" w:type="dxa"/>
            <w:vAlign w:val="bottom"/>
          </w:tcPr>
          <w:p>
            <w:pPr>
              <w:spacing w:after="0"/>
              <w:rPr>
                <w:sz w:val="18"/>
                <w:szCs w:val="18"/>
                <w:color w:val="auto"/>
              </w:rPr>
            </w:pPr>
          </w:p>
        </w:tc>
        <w:tc>
          <w:tcPr>
            <w:tcW w:w="2700" w:type="dxa"/>
            <w:vAlign w:val="bottom"/>
          </w:tcPr>
          <w:p>
            <w:pPr>
              <w:ind w:left="2060"/>
              <w:spacing w:after="0" w:line="215" w:lineRule="exact"/>
              <w:rPr>
                <w:sz w:val="20"/>
                <w:szCs w:val="20"/>
                <w:color w:val="auto"/>
              </w:rPr>
            </w:pPr>
            <w:r>
              <w:rPr>
                <w:rFonts w:ascii="Calibri" w:cs="Calibri" w:eastAsia="Calibri" w:hAnsi="Calibri"/>
                <w:sz w:val="18"/>
                <w:szCs w:val="18"/>
                <w:color w:val="auto"/>
              </w:rPr>
              <w:t>Title:</w:t>
            </w:r>
          </w:p>
        </w:tc>
        <w:tc>
          <w:tcPr>
            <w:tcW w:w="4860" w:type="dxa"/>
            <w:vAlign w:val="bottom"/>
          </w:tcPr>
          <w:p>
            <w:pPr>
              <w:spacing w:after="0" w:line="215" w:lineRule="exact"/>
              <w:rPr>
                <w:sz w:val="20"/>
                <w:szCs w:val="20"/>
                <w:color w:val="auto"/>
              </w:rPr>
            </w:pPr>
            <w:r>
              <w:rPr>
                <w:rFonts w:ascii="Calibri" w:cs="Calibri" w:eastAsia="Calibri" w:hAnsi="Calibri"/>
                <w:sz w:val="18"/>
                <w:szCs w:val="18"/>
                <w:color w:val="auto"/>
              </w:rPr>
              <w:t>Chief Financial Ofcer and Head of Corporate Development</w:t>
            </w:r>
          </w:p>
        </w:tc>
      </w:tr>
    </w:tbl>
    <w:p>
      <w:pPr>
        <w:sectPr>
          <w:pgSz w:w="11900" w:h="16838" w:orient="portrait"/>
          <w:cols w:equalWidth="0" w:num="1">
            <w:col w:w="11020"/>
          </w:cols>
          <w:pgMar w:left="440" w:top="288"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8,933,334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1,733,333 Shares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Enliven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Enliven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 an aggregate of 8,933,334 shares of its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(ii) pre-funded warrants of the Company to purchase an aggregate of 1,733,333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The 8,933,334 Shares 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and together with the Pre-Funded Warrants to be sold by the Company are called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In addition, the Company has granted to the Underwriters an option to purchase up to an additional 1,600,000 Shares as provided in Section 2. The additional 1,600,000 Shares to be sold by the Company pursuant to such option are collectively called the “</w:t>
      </w:r>
      <w:r>
        <w:rPr>
          <w:rFonts w:ascii="Times New Roman" w:cs="Times New Roman" w:eastAsia="Times New Roman" w:hAnsi="Times New Roman"/>
          <w:sz w:val="18"/>
          <w:szCs w:val="18"/>
          <w:b w:val="1"/>
          <w:bCs w:val="1"/>
          <w:color w:val="auto"/>
        </w:rPr>
        <w:t>Optional Shares</w:t>
      </w:r>
      <w:r>
        <w:rPr>
          <w:rFonts w:ascii="Times New Roman" w:cs="Times New Roman" w:eastAsia="Times New Roman" w:hAnsi="Times New Roman"/>
          <w:sz w:val="18"/>
          <w:szCs w:val="18"/>
          <w:color w:val="auto"/>
        </w:rPr>
        <w:t>.” The Firm Shares and, if and to the extent such option is exercised, the Optional Shares are collectively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and together with the Pre-Funded Warrants are referred to herein as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Goldman Sachs &amp; Co. LLC (“</w:t>
      </w:r>
      <w:r>
        <w:rPr>
          <w:rFonts w:ascii="Times New Roman" w:cs="Times New Roman" w:eastAsia="Times New Roman" w:hAnsi="Times New Roman"/>
          <w:sz w:val="18"/>
          <w:szCs w:val="18"/>
          <w:b w:val="1"/>
          <w:bCs w:val="1"/>
          <w:color w:val="auto"/>
        </w:rPr>
        <w:t>Goldman</w:t>
      </w:r>
      <w:r>
        <w:rPr>
          <w:rFonts w:ascii="Times New Roman" w:cs="Times New Roman" w:eastAsia="Times New Roman" w:hAnsi="Times New Roman"/>
          <w:sz w:val="18"/>
          <w:szCs w:val="18"/>
          <w:color w:val="auto"/>
        </w:rPr>
        <w:t>”),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and Barclays Capital Inc. (“</w:t>
      </w:r>
      <w:r>
        <w:rPr>
          <w:rFonts w:ascii="Times New Roman" w:cs="Times New Roman" w:eastAsia="Times New Roman" w:hAnsi="Times New Roman"/>
          <w:sz w:val="18"/>
          <w:szCs w:val="18"/>
          <w:b w:val="1"/>
          <w:bCs w:val="1"/>
          <w:color w:val="auto"/>
        </w:rPr>
        <w:t>Barclays</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Securities.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you, as Underwriters, and the term “Underwriters” shall mean either the singular or the plural, as the context requires. As used herein,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the Shares issuable upon exercise of the Pre-Funded Warrants.</w:t>
      </w:r>
    </w:p>
    <w:p>
      <w:pPr>
        <w:sectPr>
          <w:pgSz w:w="11900" w:h="16838" w:orient="portrait"/>
          <w:cols w:equalWidth="0" w:num="1">
            <w:col w:w="11020"/>
          </w:cols>
          <w:pgMar w:left="440" w:top="117" w:right="43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333-289582,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Securities.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Securities is called the “</w:t>
      </w:r>
      <w:r>
        <w:rPr>
          <w:rFonts w:ascii="Times New Roman" w:cs="Times New Roman" w:eastAsia="Times New Roman" w:hAnsi="Times New Roman"/>
          <w:sz w:val="18"/>
          <w:szCs w:val="18"/>
          <w:b w:val="1"/>
          <w:bCs w:val="1"/>
          <w:color w:val="auto"/>
        </w:rPr>
        <w:t>Rule 462(b)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the Rule 462(b) Registration Statement. The preliminary prospectus supplement dated June 11, 2026 describing the Offered Securities and the offering thereof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together with the Base Prospectus,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supplement to the Base Prospectus in preliminary form that describes the Offered Securities and the offering thereof and is used prior to the filing of the Prospectus (as defined below), together with the Base Prospectus, is called a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the offering thereof (the “</w:t>
      </w:r>
      <w:r>
        <w:rPr>
          <w:rFonts w:ascii="Times New Roman" w:cs="Times New Roman" w:eastAsia="Times New Roman" w:hAnsi="Times New Roman"/>
          <w:sz w:val="18"/>
          <w:szCs w:val="18"/>
          <w:b w:val="1"/>
          <w:bCs w:val="1"/>
          <w:color w:val="auto"/>
        </w:rPr>
        <w:t>Final 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6:45 p.m. (New York City time) on June 11, 2026.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Sale Prospectus</w:t>
      </w:r>
      <w:r>
        <w:rPr>
          <w:rFonts w:ascii="Times New Roman" w:cs="Times New Roman" w:eastAsia="Times New Roman" w:hAnsi="Times New Roman"/>
          <w:sz w:val="18"/>
          <w:szCs w:val="18"/>
          <w:color w:val="auto"/>
        </w:rPr>
        <w:t>” means the Preliminary Prospectus, as amended or supplemented immediately prior to the Applicable Time, together with the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 the Offered Securities 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each written communication (within the meaning of Rule 405 under the Securities Act) that is made in reliance on Section 5(d) of the Securities Act or Rule 163B under the Securities Act by the Company or any person authorized to act on behalf of the Company to one or more potential investors that are qualified 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 501(a) under the Securities Act, to determine whether such investors might have an interest in the offering of the Offered Securities; “</w:t>
      </w:r>
      <w:r>
        <w:rPr>
          <w:rFonts w:ascii="Times New Roman" w:cs="Times New Roman" w:eastAsia="Times New Roman" w:hAnsi="Times New Roman"/>
          <w:sz w:val="18"/>
          <w:szCs w:val="18"/>
          <w:b w:val="1"/>
          <w:bCs w:val="1"/>
          <w:color w:val="auto"/>
        </w:rPr>
        <w:t>Oral Testing-the-Waters Communication</w:t>
      </w:r>
      <w:r>
        <w:rPr>
          <w:rFonts w:ascii="Times New Roman" w:cs="Times New Roman" w:eastAsia="Times New Roman" w:hAnsi="Times New Roman"/>
          <w:sz w:val="18"/>
          <w:szCs w:val="18"/>
          <w:color w:val="auto"/>
        </w:rPr>
        <w:t>” means each oral communication, if any, made in reliance on Section 5(d) of the Securities Act or Rule 163B under the Securities Act by the Company or any person authorized to act on behalf of the Company made to one or more QIBs and/or one or more IAIs to determine whether such investors might have an interest in the offering of the Offered Securities;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Offered Securities, including any roadshow or investor presentations made to investors by the Company (whether in person or electronically); and “</w:t>
      </w:r>
      <w:r>
        <w:rPr>
          <w:rFonts w:ascii="Times New Roman" w:cs="Times New Roman" w:eastAsia="Times New Roman" w:hAnsi="Times New Roman"/>
          <w:sz w:val="18"/>
          <w:szCs w:val="18"/>
          <w:b w:val="1"/>
          <w:bCs w:val="1"/>
          <w:color w:val="auto"/>
        </w:rPr>
        <w:t>Permitted Testing-the-Waters Communication</w:t>
      </w:r>
      <w:r>
        <w:rPr>
          <w:rFonts w:ascii="Times New Roman" w:cs="Times New Roman" w:eastAsia="Times New Roman" w:hAnsi="Times New Roman"/>
          <w:sz w:val="18"/>
          <w:szCs w:val="18"/>
          <w:color w:val="auto"/>
        </w:rPr>
        <w:t xml:space="preserve">” means the Written Testing-the-Waters Communication(s) and Marketing Materials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attached hereto.</w:t>
      </w:r>
    </w:p>
    <w:p>
      <w:pPr>
        <w:sectPr>
          <w:pgSz w:w="11900" w:h="16838" w:orient="portrait"/>
          <w:cols w:equalWidth="0" w:num="1">
            <w:col w:w="10960"/>
          </w:cols>
          <w:pgMar w:left="440" w:top="266" w:right="499" w:bottom="1440" w:gutter="0" w:footer="0" w:header="0"/>
        </w:sectPr>
      </w:pPr>
    </w:p>
    <w:bookmarkStart w:id="7" w:name="page8"/>
    <w:bookmarkEnd w:id="7"/>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Securities as contemplated by Section 3(n) of this Agreement.</w:t>
      </w:r>
    </w:p>
    <w:p>
      <w:pPr>
        <w:spacing w:after="0" w:line="19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 Representations and Warranties of the Company.</w:t>
      </w:r>
    </w:p>
    <w:p>
      <w:pPr>
        <w:spacing w:after="0" w:line="229"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50" w:lineRule="exact"/>
        <w:rPr>
          <w:sz w:val="20"/>
          <w:szCs w:val="20"/>
          <w:color w:val="auto"/>
        </w:rPr>
      </w:pPr>
    </w:p>
    <w:p>
      <w:pPr>
        <w:ind w:firstLine="436"/>
        <w:spacing w:after="0" w:line="253" w:lineRule="auto"/>
        <w:tabs>
          <w:tab w:leader="none" w:pos="6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as well as the time the Company or any person acting on its behalf (within the meaning, for this clause only, of Rule 163(c) under the Securities Act) made any offer relating to the Offered Securities in reliance on the exemption of Rule 163 under the Securities Act, the Company was a “well-known seasoned issuer” as defined in Rule 405 under the Securities Act. The Registration Statement is an “automatic shelf registration statement,” as defined in Rule 405 under the Securities Act, and became effective on August 13, 2025. The Company has not received from the Commission any notice pursuant to Rule 401(g)(2) under the Securities Act objecting to the Company’s use of the automatic shelf registration form. The Company meets the requirements for use of Form S-3 under the Securities Act specified in FINRA Conduct Rule 5110(h)(1)(C) and 5110(j)(6).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ectPr>
          <w:pgSz w:w="11900" w:h="16838" w:orient="portrait"/>
          <w:cols w:equalWidth="0" w:num="1">
            <w:col w:w="11020"/>
          </w:cols>
          <w:pgMar w:left="440" w:top="270" w:right="439" w:bottom="1440" w:gutter="0" w:footer="0" w:header="0"/>
        </w:sectPr>
      </w:pPr>
    </w:p>
    <w:bookmarkStart w:id="8" w:name="page9"/>
    <w:bookmarkEnd w:id="8"/>
    <w:p>
      <w:pPr>
        <w:ind w:left="-436" w:firstLine="436"/>
        <w:spacing w:after="0" w:line="252" w:lineRule="auto"/>
        <w:tabs>
          <w:tab w:leader="none" w:pos="26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preliminary prospectus and the Prospectus when filed complied in all material respects with the Securities Act and, if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194" w:lineRule="exact"/>
        <w:rPr>
          <w:rFonts w:ascii="Times New Roman" w:cs="Times New Roman" w:eastAsia="Times New Roman" w:hAnsi="Times New Roman"/>
          <w:sz w:val="18"/>
          <w:szCs w:val="18"/>
          <w:b w:val="1"/>
          <w:bCs w:val="1"/>
          <w:color w:val="auto"/>
        </w:rPr>
      </w:pPr>
    </w:p>
    <w:p>
      <w:pPr>
        <w:ind w:left="-436" w:right="160" w:firstLine="436"/>
        <w:spacing w:after="0" w:line="253" w:lineRule="auto"/>
        <w:tabs>
          <w:tab w:leader="none" w:pos="2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is not or will not be (as applicable) an “ineligible issuer” in connection with the offering of the Offered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Securities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light of the circumstances under which they were made, not misleading.</w:t>
      </w:r>
    </w:p>
    <w:p>
      <w:pPr>
        <w:sectPr>
          <w:pgSz w:w="11900" w:h="16838" w:orient="portrait"/>
          <w:cols w:equalWidth="0" w:num="1">
            <w:col w:w="10564"/>
          </w:cols>
          <w:pgMar w:left="876" w:top="266" w:right="459" w:bottom="1440" w:gutter="0" w:footer="0" w:header="0"/>
        </w:sectPr>
      </w:pPr>
    </w:p>
    <w:bookmarkStart w:id="9" w:name="page10"/>
    <w:bookmarkEnd w:id="9"/>
    <w:p>
      <w:pPr>
        <w:ind w:left="-436" w:right="120" w:firstLine="436"/>
        <w:spacing w:after="0" w:line="259" w:lineRule="auto"/>
        <w:tabs>
          <w:tab w:leader="none" w:pos="26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of Offering Material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in Section 2 and (ii) the completion of the Underwriters’ distribution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has not distributed and will not distribute any offering material in connection with the offering and sale of the Offered Securities other than the Registration Statement, the Time of Sale Prospectus, the Prospectus or any free writing prospectus reviewed and consented to by the Representatives,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any Permitted Testing-the-Waters Communications.</w:t>
      </w:r>
    </w:p>
    <w:p>
      <w:pPr>
        <w:spacing w:after="0" w:line="179" w:lineRule="exact"/>
        <w:rPr>
          <w:rFonts w:ascii="Times New Roman" w:cs="Times New Roman" w:eastAsia="Times New Roman" w:hAnsi="Times New Roman"/>
          <w:sz w:val="18"/>
          <w:szCs w:val="18"/>
          <w:b w:val="1"/>
          <w:bCs w:val="1"/>
          <w:color w:val="auto"/>
        </w:rPr>
      </w:pPr>
    </w:p>
    <w:p>
      <w:pPr>
        <w:jc w:val="both"/>
        <w:ind w:left="-436" w:right="120" w:firstLine="436"/>
        <w:spacing w:after="0" w:line="268" w:lineRule="auto"/>
        <w:tabs>
          <w:tab w:leader="none" w:pos="24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statistical, demographic and market-related data included in the Registration Statement, the Time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70" w:lineRule="exact"/>
        <w:rPr>
          <w:rFonts w:ascii="Times New Roman" w:cs="Times New Roman" w:eastAsia="Times New Roman" w:hAnsi="Times New Roman"/>
          <w:sz w:val="18"/>
          <w:szCs w:val="18"/>
          <w:b w:val="1"/>
          <w:bCs w:val="1"/>
          <w:color w:val="auto"/>
        </w:rPr>
      </w:pPr>
    </w:p>
    <w:p>
      <w:pPr>
        <w:ind w:left="-436" w:firstLine="436"/>
        <w:spacing w:after="0" w:line="254" w:lineRule="auto"/>
        <w:tabs>
          <w:tab w:leader="none" w:pos="22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left="-436" w:right="80" w:firstLine="436"/>
        <w:spacing w:after="0" w:line="254" w:lineRule="auto"/>
        <w:tabs>
          <w:tab w:leader="none" w:pos="26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w:t>
      </w:r>
    </w:p>
    <w:p>
      <w:pPr>
        <w:sectPr>
          <w:pgSz w:w="11900" w:h="16838" w:orient="portrait"/>
          <w:cols w:equalWidth="0" w:num="1">
            <w:col w:w="10564"/>
          </w:cols>
          <w:pgMar w:left="876" w:top="266" w:right="459" w:bottom="1440" w:gutter="0" w:footer="0" w:header="0"/>
        </w:sectPr>
      </w:pPr>
    </w:p>
    <w:bookmarkStart w:id="10" w:name="page11"/>
    <w:bookmarkEnd w:id="10"/>
    <w:p>
      <w:pPr>
        <w:ind w:left="4" w:right="20" w:firstLine="436"/>
        <w:spacing w:after="0" w:line="268" w:lineRule="auto"/>
        <w:tabs>
          <w:tab w:leader="none" w:pos="65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 except for such rights as have been duly waived.</w:t>
      </w:r>
    </w:p>
    <w:p>
      <w:pPr>
        <w:spacing w:after="0" w:line="170" w:lineRule="exact"/>
        <w:rPr>
          <w:rFonts w:ascii="Times New Roman" w:cs="Times New Roman" w:eastAsia="Times New Roman" w:hAnsi="Times New Roman"/>
          <w:sz w:val="18"/>
          <w:szCs w:val="18"/>
          <w:b w:val="1"/>
          <w:bCs w:val="1"/>
          <w:color w:val="auto"/>
        </w:rPr>
      </w:pPr>
    </w:p>
    <w:p>
      <w:pPr>
        <w:ind w:left="4" w:right="240" w:firstLine="436"/>
        <w:spacing w:after="0" w:line="278" w:lineRule="auto"/>
        <w:tabs>
          <w:tab w:leader="none" w:pos="669"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Material Adverse Change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disclosed in the Registration Statement, the Time of Sale Prospectus and the Prospectus,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subsequent to the respective dates as of which information is given in the Registration Statement, the Time of Sale Prospectus and the Prospectus:</w:t>
      </w:r>
    </w:p>
    <w:p>
      <w:pPr>
        <w:spacing w:after="0" w:line="1" w:lineRule="exact"/>
        <w:rPr>
          <w:rFonts w:ascii="Times New Roman" w:cs="Times New Roman" w:eastAsia="Times New Roman" w:hAnsi="Times New Roman"/>
          <w:sz w:val="17"/>
          <w:szCs w:val="17"/>
          <w:b w:val="1"/>
          <w:bCs w:val="1"/>
          <w:color w:val="auto"/>
        </w:rPr>
      </w:pPr>
    </w:p>
    <w:p>
      <w:pPr>
        <w:ind w:left="4" w:right="20" w:hanging="4"/>
        <w:spacing w:after="0" w:line="251"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would be expected to result in a material adverse change, in (A) the condition, financial or otherwise, or in the earnings, business, properties, operations, operating results, assets, liabilities or prospects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8" w:lineRule="exact"/>
        <w:rPr>
          <w:rFonts w:ascii="Times New Roman" w:cs="Times New Roman" w:eastAsia="Times New Roman" w:hAnsi="Times New Roman"/>
          <w:sz w:val="18"/>
          <w:szCs w:val="18"/>
          <w:color w:val="auto"/>
        </w:rPr>
      </w:pPr>
    </w:p>
    <w:p>
      <w:pPr>
        <w:ind w:left="4" w:firstLine="436"/>
        <w:spacing w:after="0" w:line="257" w:lineRule="auto"/>
        <w:tabs>
          <w:tab w:leader="none" w:pos="70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Deloitte &amp; Touche LLP, which has expressed its opinion with respect to the financial statements (which term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this Agreement includes the related notes thereto) filed with the Commission as a part of the Registration Statement, the Time of Sale Prospectus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3" w:lineRule="auto"/>
        <w:tabs>
          <w:tab w:leader="none" w:pos="65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statements filed with the Commission as a part of the Registration Statement, the Time of Sale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Prospectus present fairly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fairly present, in all material respects, the information set forth therein on a basis consistent with that of the audited financial statements contained in the Registration Statement, the Time of Sale Prospectus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Time of Sale Prospectus and the Prospectus.</w:t>
      </w:r>
    </w:p>
    <w:p>
      <w:pPr>
        <w:sectPr>
          <w:pgSz w:w="11900" w:h="16838" w:orient="portrait"/>
          <w:cols w:equalWidth="0" w:num="1">
            <w:col w:w="10984"/>
          </w:cols>
          <w:pgMar w:left="436" w:top="266" w:right="479" w:bottom="1440" w:gutter="0" w:footer="0" w:header="0"/>
        </w:sectPr>
      </w:pPr>
    </w:p>
    <w:bookmarkStart w:id="11" w:name="page12"/>
    <w:bookmarkEnd w:id="11"/>
    <w:p>
      <w:pPr>
        <w:ind w:left="-436" w:right="60" w:firstLine="436"/>
        <w:spacing w:after="0" w:line="255" w:lineRule="auto"/>
        <w:tabs>
          <w:tab w:leader="none" w:pos="31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Accounting 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of its subsidiaries make and keep accurate books and records and maintain a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all material respects in accordance with the Commission’s rules and guidelines applicable thereto.</w:t>
      </w:r>
    </w:p>
    <w:p>
      <w:pPr>
        <w:spacing w:after="0" w:line="184" w:lineRule="exact"/>
        <w:rPr>
          <w:rFonts w:ascii="Times New Roman" w:cs="Times New Roman" w:eastAsia="Times New Roman" w:hAnsi="Times New Roman"/>
          <w:sz w:val="18"/>
          <w:szCs w:val="18"/>
          <w:b w:val="1"/>
          <w:bCs w:val="1"/>
          <w:color w:val="auto"/>
        </w:rPr>
      </w:pPr>
    </w:p>
    <w:p>
      <w:pPr>
        <w:ind w:left="-436" w:right="20" w:firstLine="436"/>
        <w:spacing w:after="0" w:line="275" w:lineRule="auto"/>
        <w:tabs>
          <w:tab w:leader="none" w:pos="269"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Incorporation and Good Standing of the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been duly incorporated and is validly existing as a corporation in good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would not, individually or in the aggregate, reasonably be expected to have a Material Adverse Change.</w:t>
      </w:r>
    </w:p>
    <w:p>
      <w:pPr>
        <w:spacing w:after="0" w:line="168" w:lineRule="exact"/>
        <w:rPr>
          <w:rFonts w:ascii="Times New Roman" w:cs="Times New Roman" w:eastAsia="Times New Roman" w:hAnsi="Times New Roman"/>
          <w:sz w:val="17"/>
          <w:szCs w:val="17"/>
          <w:b w:val="1"/>
          <w:bCs w:val="1"/>
          <w:color w:val="auto"/>
        </w:rPr>
      </w:pPr>
    </w:p>
    <w:p>
      <w:pPr>
        <w:ind w:left="-436" w:firstLine="436"/>
        <w:spacing w:after="0" w:line="253" w:lineRule="auto"/>
        <w:tabs>
          <w:tab w:leader="none" w:pos="25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Company’s “subsidiaries” (for purposes of this Agreement, as defined in Rule 405 under the Securities Act)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have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that would be considered a “significant subsidiary” under Item 1-02(w) of Regulation S-K other than the subsidiaries listed in Exhibit 21 to the Company’s Annual Report on Form 10-K for the fiscal year ended December 31, 2025.</w:t>
      </w:r>
    </w:p>
    <w:p>
      <w:pPr>
        <w:sectPr>
          <w:pgSz w:w="11900" w:h="16838" w:orient="portrait"/>
          <w:cols w:equalWidth="0" w:num="1">
            <w:col w:w="10564"/>
          </w:cols>
          <w:pgMar w:left="876" w:top="266" w:right="459" w:bottom="1440" w:gutter="0" w:footer="0" w:header="0"/>
        </w:sectPr>
      </w:pPr>
    </w:p>
    <w:bookmarkStart w:id="12" w:name="page13"/>
    <w:bookmarkEnd w:id="12"/>
    <w:p>
      <w:pPr>
        <w:ind w:left="4" w:firstLine="436"/>
        <w:spacing w:after="0" w:line="253" w:lineRule="auto"/>
        <w:tabs>
          <w:tab w:leader="none" w:pos="70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(other than for subsequent issuances, if any, pursuant to employee benefit plans, or upon the exercise of outstanding options or warrants, in each case described in the Registration Statement, the Time of Sale Prospectus and the Prospectus). The capital stock (including the Offered Securities) conforms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except where such noncompliance would not reasonably be expected, individually or in the aggregate, to have a Material Adverse Change. None of the outstanding Shares was issued in violation of any preemptive rights, rights of first refusal or other similar rights to subscribe for or purchase securities of the Company, except for such rights as have been duly waived.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stock option, stock bonus and other stock plans or arrangements, and the options or other rights granted thereunder, set forth in the Registration Statement, the Time of Sale Prospectus and the Prospectus accurately and fairly presents in all material respects the information required to be shown with respect to such plans, arrangements, options and rights.</w:t>
      </w:r>
    </w:p>
    <w:p>
      <w:pPr>
        <w:spacing w:after="0" w:line="187"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70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and Warrant Shares are registered pursuant to Section 12(b) or 12(g) of the Exchange Act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listed on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of the Shares under the Exchange Act or delisting the Shares from Nasdaq, nor has the Company received any notification that the Commission or Nasdaq is contemplating terminating such registration or listing. To the Company’s knowledge, it is in compliance in all material respects with all applicable listing requirements of Nasdaq.</w:t>
      </w:r>
    </w:p>
    <w:p>
      <w:pPr>
        <w:spacing w:after="0" w:line="179" w:lineRule="exact"/>
        <w:rPr>
          <w:rFonts w:ascii="Times New Roman" w:cs="Times New Roman" w:eastAsia="Times New Roman" w:hAnsi="Times New Roman"/>
          <w:sz w:val="18"/>
          <w:szCs w:val="18"/>
          <w:b w:val="1"/>
          <w:bCs w:val="1"/>
          <w:color w:val="auto"/>
        </w:rPr>
      </w:pPr>
    </w:p>
    <w:p>
      <w:pPr>
        <w:ind w:left="4" w:right="60" w:firstLine="436"/>
        <w:spacing w:after="0" w:line="267" w:lineRule="auto"/>
        <w:tabs>
          <w:tab w:leader="none" w:pos="689" w:val="left"/>
        </w:tabs>
        <w:numPr>
          <w:ilvl w:val="1"/>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Non-Contravention of Existing Instruments; No Further Authorizations or Approvals Required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Neither the Company nor any of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7"/>
          <w:szCs w:val="17"/>
          <w:b w:val="1"/>
          <w:bCs w:val="1"/>
          <w:color w:val="auto"/>
        </w:rPr>
        <w:t>Default</w:t>
      </w:r>
      <w:r>
        <w:rPr>
          <w:rFonts w:ascii="Times New Roman" w:cs="Times New Roman" w:eastAsia="Times New Roman" w:hAnsi="Times New Roman"/>
          <w:sz w:val="17"/>
          <w:szCs w:val="17"/>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7"/>
          <w:szCs w:val="17"/>
          <w:b w:val="1"/>
          <w:bCs w:val="1"/>
          <w:color w:val="auto"/>
        </w:rPr>
        <w:t>Existing Instrument</w:t>
      </w:r>
      <w:r>
        <w:rPr>
          <w:rFonts w:ascii="Times New Roman" w:cs="Times New Roman" w:eastAsia="Times New Roman" w:hAnsi="Times New Roman"/>
          <w:sz w:val="17"/>
          <w:szCs w:val="17"/>
          <w:color w:val="auto"/>
        </w:rPr>
        <w:t>”), except for such Defaults as would not reasonably be expected, individually or in the aggregate, to result in a Material Adverse Change. The Company’s execution, delivery and performance of this Agreement, the Pre-Funded Warrants and consummation of the transactions contemplated hereby, by the Registration Statement, the Time of Sale Prospectus and the Prospectus and the issuance and sale of the Offered Securities and the Warrant Shares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w:t>
      </w:r>
    </w:p>
    <w:p>
      <w:pPr>
        <w:spacing w:after="0" w:line="4" w:lineRule="exact"/>
        <w:rPr>
          <w:rFonts w:ascii="Times New Roman" w:cs="Times New Roman" w:eastAsia="Times New Roman" w:hAnsi="Times New Roman"/>
          <w:sz w:val="17"/>
          <w:szCs w:val="17"/>
          <w:b w:val="1"/>
          <w:bCs w:val="1"/>
          <w:color w:val="auto"/>
        </w:rPr>
      </w:pPr>
    </w:p>
    <w:p>
      <w:pPr>
        <w:ind w:left="4" w:hanging="4"/>
        <w:spacing w:after="0" w:line="252"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as would not reasonably be expected, individually or in the aggregate, to result in a Material Adverse Change. No</w:t>
      </w:r>
    </w:p>
    <w:p>
      <w:pPr>
        <w:sectPr>
          <w:pgSz w:w="11900" w:h="16838" w:orient="portrait"/>
          <w:cols w:equalWidth="0" w:num="1">
            <w:col w:w="11004"/>
          </w:cols>
          <w:pgMar w:left="436" w:top="266" w:right="459" w:bottom="1440" w:gutter="0" w:footer="0" w:header="0"/>
        </w:sectPr>
      </w:pPr>
    </w:p>
    <w:bookmarkStart w:id="13" w:name="page14"/>
    <w:bookmarkEnd w:id="13"/>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approval, authorization or other order of, or registration or filing with, any court or other governmental or regulatory authority or agency, is required for the Company’s execution, delivery and performance of this Agreement, the Pre-Funded Warrants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FINRA.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5" w:lineRule="exact"/>
        <w:rPr>
          <w:sz w:val="20"/>
          <w:szCs w:val="20"/>
          <w:color w:val="auto"/>
        </w:rPr>
      </w:pPr>
    </w:p>
    <w:p>
      <w:pPr>
        <w:ind w:left="4" w:right="40" w:firstLine="436"/>
        <w:spacing w:after="0" w:line="259" w:lineRule="auto"/>
        <w:tabs>
          <w:tab w:leader="none" w:pos="67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Actions or Proceedings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no action, suit, proceeding, inquiry or investigation brought by or before any court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entity now pending or, to the knowledge of the Company, threatened, against or affecting the Company or any of its subsidiaries, which would be reasonably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69" w:lineRule="auto"/>
        <w:tabs>
          <w:tab w:leader="none" w:pos="669"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Intellectual Property Rights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and its subsidiaries own, or have obtained valid and enforceable licenses for, the inventions, patent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applications, patents, trademarks, trade names, service names, copyrights, trade secrets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and to the Company’s knowledge,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w:t>
      </w:r>
    </w:p>
    <w:p>
      <w:pPr>
        <w:ind w:left="4" w:right="40" w:hanging="4"/>
        <w:spacing w:after="0" w:line="251"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third parties who have rights to any Intellectual Property,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To the Company’s knowledge, there is no pending or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w:t>
      </w:r>
    </w:p>
    <w:p>
      <w:pPr>
        <w:sectPr>
          <w:pgSz w:w="11900" w:h="16838" w:orient="portrait"/>
          <w:cols w:equalWidth="0" w:num="1">
            <w:col w:w="11004"/>
          </w:cols>
          <w:pgMar w:left="436" w:top="270" w:right="45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The product candidates described in the Registration Statement, the Time of Sale Prospectus and the Prospectus as under development by the Company or any subsidiary fall within the scope of the claims of one or more patents or patent applications owned by, or exclusively licensed to, the Company or any subsidiary.</w:t>
      </w:r>
    </w:p>
    <w:p>
      <w:pPr>
        <w:spacing w:after="0" w:line="190" w:lineRule="exact"/>
        <w:rPr>
          <w:sz w:val="20"/>
          <w:szCs w:val="20"/>
          <w:color w:val="auto"/>
        </w:rPr>
      </w:pPr>
    </w:p>
    <w:p>
      <w:pPr>
        <w:ind w:right="200" w:firstLine="436"/>
        <w:spacing w:after="0" w:line="256" w:lineRule="auto"/>
        <w:tabs>
          <w:tab w:leader="none" w:pos="7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each subsidiary possess such valid and current certificates, authorizations or permits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state, federal or foreign regulatory agencies or bodies to conduct their respective businesses as currently conducted and as described in the Registration Statement, the Time of Sale Prospectus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so possess or comply would not reasonably be expected, individually or in the aggregate, to result in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where such violation, default, revocation, modification or non-compliance would not reasonably be expected, individually or in the aggregate, to result in a Material Adverse Change.</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69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Title to Properties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have good and marketable title to all of the real and personal property and other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reflected as owned in the financial statements referred to in Section 1(l) above (or elsewhere in the Registration Statement, the Time of Sale Prospectus or the Prospectus), in each case free and clear of any security interests, mortgages, liens, encumbrances, equities, adverse claims and other defects, except as would not reasonably be expected, individually or in the aggregate, to result in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2" w:lineRule="exact"/>
        <w:rPr>
          <w:rFonts w:ascii="Times New Roman" w:cs="Times New Roman" w:eastAsia="Times New Roman" w:hAnsi="Times New Roman"/>
          <w:sz w:val="18"/>
          <w:szCs w:val="18"/>
          <w:b w:val="1"/>
          <w:bCs w:val="1"/>
          <w:color w:val="auto"/>
        </w:rPr>
      </w:pPr>
    </w:p>
    <w:p>
      <w:pPr>
        <w:ind w:right="100" w:firstLine="436"/>
        <w:spacing w:after="0" w:line="255" w:lineRule="auto"/>
        <w:tabs>
          <w:tab w:leader="none" w:pos="73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The Company and each of its subsidiaries have filed all federal, state, local and foreign tax returns required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or have requested extensions thereof and have paid all taxes required to be paid thereon (except for cases in which the failure to file such tax returns or pay such taxes would not reasonably be expected to have a Material Adverse Change), (ii) the Company and each of its subsidiaries have no liability for unpaid taxes, except as currently being contested in good faith and for which reserves required by generally accepted accounting principles in the United States have been created in the financial statements of the Company or where such liability would not reasonably be expected to have a Material Adverse Change and (iii) no tax deficiency has been determined adversely to the Company or any of its subsidiaries, and neither the Company nor any of its subsidiaries has received written notice of, or has knowledge of, any tax deficiency that would reasonably be expected to be determined adversely to the Company or its subsidiaries, in each case which would reasonably be expected to have a Material Adverse Change.</w:t>
      </w:r>
    </w:p>
    <w:p>
      <w:pPr>
        <w:sectPr>
          <w:pgSz w:w="11900" w:h="16838" w:orient="portrait"/>
          <w:cols w:equalWidth="0" w:num="1">
            <w:col w:w="11000"/>
          </w:cols>
          <w:pgMar w:left="440" w:top="270" w:right="459" w:bottom="1440" w:gutter="0" w:footer="0" w:header="0"/>
        </w:sectPr>
      </w:pPr>
    </w:p>
    <w:bookmarkStart w:id="15" w:name="page16"/>
    <w:bookmarkEnd w:id="15"/>
    <w:p>
      <w:pPr>
        <w:jc w:val="both"/>
        <w:ind w:left="-436" w:right="160" w:firstLine="436"/>
        <w:spacing w:after="0" w:line="262" w:lineRule="auto"/>
        <w:tabs>
          <w:tab w:leader="none" w:pos="25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Not an “Investment Company.” </w:t>
      </w:r>
      <w:r>
        <w:rPr>
          <w:rFonts w:ascii="Times New Roman" w:cs="Times New Roman" w:eastAsia="Times New Roman" w:hAnsi="Times New Roman"/>
          <w:sz w:val="18"/>
          <w:szCs w:val="18"/>
          <w:color w:val="auto"/>
        </w:rPr>
        <w:t>The Company is not, and will not be, either after receipt of payment for the Offered Securities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436" w:right="20" w:firstLine="436"/>
        <w:spacing w:after="0" w:line="254" w:lineRule="auto"/>
        <w:tabs>
          <w:tab w:leader="none" w:pos="25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 and its subsidiaries are insured by recognized, financially sound and reputable institutions with policies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be expected to result, individually or in the aggregate, in a Material Adverse Change. Neither the Company nor any of its subsidiaries has been denied any insurance coverage which it has sought or for which it has applied, except as would not be expected to result, individually or in the aggregate, in a Material Adverse Change.</w:t>
      </w:r>
    </w:p>
    <w:p>
      <w:pPr>
        <w:spacing w:after="0" w:line="188" w:lineRule="exact"/>
        <w:rPr>
          <w:rFonts w:ascii="Times New Roman" w:cs="Times New Roman" w:eastAsia="Times New Roman" w:hAnsi="Times New Roman"/>
          <w:sz w:val="18"/>
          <w:szCs w:val="18"/>
          <w:b w:val="1"/>
          <w:bCs w:val="1"/>
          <w:color w:val="auto"/>
        </w:rPr>
      </w:pPr>
    </w:p>
    <w:p>
      <w:pPr>
        <w:jc w:val="both"/>
        <w:ind w:left="-436" w:firstLine="436"/>
        <w:spacing w:after="0" w:line="262" w:lineRule="auto"/>
        <w:tabs>
          <w:tab w:leader="none" w:pos="2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has taken, 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indirectly, any action designed to or that might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Offered Securities or otherwise, and has taken no action which would directly or indirectly violate Regulation M.</w:t>
      </w:r>
    </w:p>
    <w:p>
      <w:pPr>
        <w:spacing w:after="0" w:line="176" w:lineRule="exact"/>
        <w:rPr>
          <w:sz w:val="20"/>
          <w:szCs w:val="20"/>
          <w:color w:val="auto"/>
        </w:rPr>
      </w:pPr>
    </w:p>
    <w:p>
      <w:pPr>
        <w:ind w:left="-436" w:right="220" w:firstLine="436"/>
        <w:spacing w:after="0" w:line="268" w:lineRule="auto"/>
        <w:tabs>
          <w:tab w:leader="none" w:pos="34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Related-Party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or any other person required to be described in the Registration Statement, the Time of Sale Prospectus or the Prospectus which have not been described as required.</w:t>
      </w:r>
    </w:p>
    <w:p>
      <w:pPr>
        <w:spacing w:after="0" w:line="170" w:lineRule="exact"/>
        <w:rPr>
          <w:rFonts w:ascii="Times New Roman" w:cs="Times New Roman" w:eastAsia="Times New Roman" w:hAnsi="Times New Roman"/>
          <w:sz w:val="18"/>
          <w:szCs w:val="18"/>
          <w:b w:val="1"/>
          <w:bCs w:val="1"/>
          <w:color w:val="auto"/>
        </w:rPr>
      </w:pPr>
    </w:p>
    <w:p>
      <w:pPr>
        <w:ind w:left="-436" w:right="300" w:firstLine="436"/>
        <w:spacing w:after="0" w:line="259" w:lineRule="auto"/>
        <w:tabs>
          <w:tab w:leader="none" w:pos="36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Company, its counsel,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w:t>
      </w:r>
    </w:p>
    <w:p>
      <w:pPr>
        <w:spacing w:after="0" w:line="179" w:lineRule="exact"/>
        <w:rPr>
          <w:rFonts w:ascii="Times New Roman" w:cs="Times New Roman" w:eastAsia="Times New Roman" w:hAnsi="Times New Roman"/>
          <w:sz w:val="18"/>
          <w:szCs w:val="18"/>
          <w:b w:val="1"/>
          <w:bCs w:val="1"/>
          <w:color w:val="auto"/>
        </w:rPr>
      </w:pPr>
    </w:p>
    <w:p>
      <w:pPr>
        <w:ind w:left="-436" w:right="100" w:firstLine="436"/>
        <w:spacing w:after="0" w:line="262" w:lineRule="auto"/>
        <w:tabs>
          <w:tab w:leader="none" w:pos="32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to the Company’s knowledge,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76" w:lineRule="exact"/>
        <w:rPr>
          <w:rFonts w:ascii="Times New Roman" w:cs="Times New Roman" w:eastAsia="Times New Roman" w:hAnsi="Times New Roman"/>
          <w:sz w:val="18"/>
          <w:szCs w:val="18"/>
          <w:b w:val="1"/>
          <w:bCs w:val="1"/>
          <w:color w:val="auto"/>
        </w:rPr>
      </w:pPr>
    </w:p>
    <w:p>
      <w:pPr>
        <w:ind w:left="-436" w:right="40" w:firstLine="436"/>
        <w:spacing w:after="0" w:line="262" w:lineRule="auto"/>
        <w:tabs>
          <w:tab w:leader="none" w:pos="36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would not be reasonably expected, individually or in the aggregate, to result in a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w:t>
      </w:r>
    </w:p>
    <w:p>
      <w:pPr>
        <w:sectPr>
          <w:pgSz w:w="11900" w:h="16838" w:orient="portrait"/>
          <w:cols w:equalWidth="0" w:num="1">
            <w:col w:w="10524"/>
          </w:cols>
          <w:pgMar w:left="876" w:top="266" w:right="499" w:bottom="1440" w:gutter="0" w:footer="0" w:header="0"/>
        </w:sectPr>
      </w:pPr>
    </w:p>
    <w:bookmarkStart w:id="16" w:name="page17"/>
    <w:bookmarkEnd w:id="1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90" w:lineRule="exact"/>
        <w:rPr>
          <w:sz w:val="20"/>
          <w:szCs w:val="20"/>
          <w:color w:val="auto"/>
        </w:rPr>
      </w:pPr>
    </w:p>
    <w:p>
      <w:pPr>
        <w:ind w:firstLine="436"/>
        <w:spacing w:after="0" w:line="253" w:lineRule="auto"/>
        <w:tabs>
          <w:tab w:leader="none" w:pos="7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7" w:lineRule="exact"/>
        <w:rPr>
          <w:rFonts w:ascii="Times New Roman" w:cs="Times New Roman" w:eastAsia="Times New Roman" w:hAnsi="Times New Roman"/>
          <w:sz w:val="18"/>
          <w:szCs w:val="18"/>
          <w:b w:val="1"/>
          <w:bCs w:val="1"/>
          <w:color w:val="auto"/>
        </w:rPr>
      </w:pPr>
    </w:p>
    <w:p>
      <w:pPr>
        <w:ind w:right="680" w:firstLine="436"/>
        <w:spacing w:after="0" w:line="286" w:lineRule="auto"/>
        <w:tabs>
          <w:tab w:leader="none" w:pos="72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pursuant to this Agreement, there is no broker, finder or other party that is entitled to receive from the Company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or finder’s fee or other fee or commission as a result of any transactions contemplated by this Agreement.</w:t>
      </w:r>
    </w:p>
    <w:p>
      <w:pPr>
        <w:spacing w:after="0" w:line="154" w:lineRule="exact"/>
        <w:rPr>
          <w:rFonts w:ascii="Times New Roman" w:cs="Times New Roman" w:eastAsia="Times New Roman" w:hAnsi="Times New Roman"/>
          <w:sz w:val="18"/>
          <w:szCs w:val="18"/>
          <w:b w:val="1"/>
          <w:bCs w:val="1"/>
          <w:color w:val="auto"/>
        </w:rPr>
      </w:pPr>
    </w:p>
    <w:p>
      <w:pPr>
        <w:jc w:val="both"/>
        <w:ind w:right="360" w:firstLine="436"/>
        <w:spacing w:after="0" w:line="268" w:lineRule="auto"/>
        <w:tabs>
          <w:tab w:leader="none" w:pos="78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170" w:lineRule="exact"/>
        <w:rPr>
          <w:rFonts w:ascii="Times New Roman" w:cs="Times New Roman" w:eastAsia="Times New Roman" w:hAnsi="Times New Roman"/>
          <w:sz w:val="18"/>
          <w:szCs w:val="18"/>
          <w:b w:val="1"/>
          <w:bCs w:val="1"/>
          <w:color w:val="auto"/>
        </w:rPr>
      </w:pPr>
    </w:p>
    <w:p>
      <w:pPr>
        <w:ind w:right="100" w:firstLine="436"/>
        <w:spacing w:after="0" w:line="317" w:lineRule="auto"/>
        <w:tabs>
          <w:tab w:leader="none" w:pos="805"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Compliance with Laws. </w:t>
      </w:r>
      <w:r>
        <w:rPr>
          <w:rFonts w:ascii="Times New Roman" w:cs="Times New Roman" w:eastAsia="Times New Roman" w:hAnsi="Times New Roman"/>
          <w:sz w:val="17"/>
          <w:szCs w:val="17"/>
          <w:color w:val="auto"/>
        </w:rPr>
        <w:t>The Company and its subsidiaries have been and are in compliance with all applicable laws, rules and regulations,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where failure to be so in compliance would not reasonably be expected, individually or in the aggregate, to result in a Material Adverse Change.</w:t>
      </w:r>
    </w:p>
    <w:p>
      <w:pPr>
        <w:sectPr>
          <w:pgSz w:w="11900" w:h="16838" w:orient="portrait"/>
          <w:cols w:equalWidth="0" w:num="1">
            <w:col w:w="11000"/>
          </w:cols>
          <w:pgMar w:left="440" w:top="270" w:right="459" w:bottom="1440" w:gutter="0" w:footer="0" w:header="0"/>
        </w:sectPr>
      </w:pPr>
    </w:p>
    <w:bookmarkStart w:id="17" w:name="page18"/>
    <w:bookmarkEnd w:id="17"/>
    <w:p>
      <w:pPr>
        <w:jc w:val="both"/>
        <w:ind w:left="-436" w:right="20" w:firstLine="436"/>
        <w:spacing w:after="0" w:line="262" w:lineRule="auto"/>
        <w:tabs>
          <w:tab w:leader="none" w:pos="2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Restrictions</w:t>
      </w:r>
      <w:r>
        <w:rPr>
          <w:rFonts w:ascii="Times New Roman" w:cs="Times New Roman" w:eastAsia="Times New Roman" w:hAnsi="Times New Roman"/>
          <w:sz w:val="18"/>
          <w:szCs w:val="18"/>
          <w:color w:val="auto"/>
        </w:rPr>
        <w:t>. No subsidiary of the Company is prohibited or restricted, directly or indirectly, from paying dividends to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6" w:lineRule="exact"/>
        <w:rPr>
          <w:rFonts w:ascii="Times New Roman" w:cs="Times New Roman" w:eastAsia="Times New Roman" w:hAnsi="Times New Roman"/>
          <w:sz w:val="18"/>
          <w:szCs w:val="18"/>
          <w:b w:val="1"/>
          <w:bCs w:val="1"/>
          <w:color w:val="auto"/>
        </w:rPr>
      </w:pPr>
    </w:p>
    <w:p>
      <w:pPr>
        <w:ind w:left="-436" w:firstLine="436"/>
        <w:spacing w:after="0" w:line="253" w:lineRule="auto"/>
        <w:tabs>
          <w:tab w:leader="none" w:pos="28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Anti-Corruption and Anti-Bribery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any director, officer, or employee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any of its subsidiaries, nor to the knowledge of the Company, any agent, affiliate or other person associated with or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or (iv) made, offered, authorized, requested, or taken an act in furtherance of any unlawful bribe, rebate, payoff, influence payment, kickback or other unlawful payment or benefit .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185" w:lineRule="exact"/>
        <w:rPr>
          <w:rFonts w:ascii="Times New Roman" w:cs="Times New Roman" w:eastAsia="Times New Roman" w:hAnsi="Times New Roman"/>
          <w:sz w:val="18"/>
          <w:szCs w:val="18"/>
          <w:b w:val="1"/>
          <w:bCs w:val="1"/>
          <w:color w:val="auto"/>
        </w:rPr>
      </w:pPr>
    </w:p>
    <w:p>
      <w:pPr>
        <w:ind w:left="-436" w:right="60" w:firstLine="436"/>
        <w:spacing w:after="0" w:line="256" w:lineRule="auto"/>
        <w:tabs>
          <w:tab w:leader="none" w:pos="3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its subsidiaries are,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by the USA PATRIOT ACT of 2001, and the rules and regulations promulgated thereunder, and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2" w:lineRule="exact"/>
        <w:rPr>
          <w:rFonts w:ascii="Times New Roman" w:cs="Times New Roman" w:eastAsia="Times New Roman" w:hAnsi="Times New Roman"/>
          <w:sz w:val="18"/>
          <w:szCs w:val="18"/>
          <w:b w:val="1"/>
          <w:bCs w:val="1"/>
          <w:color w:val="auto"/>
        </w:rPr>
      </w:pPr>
    </w:p>
    <w:p>
      <w:pPr>
        <w:ind w:left="-436" w:right="100" w:firstLine="436"/>
        <w:spacing w:after="0" w:line="253" w:lineRule="auto"/>
        <w:tabs>
          <w:tab w:leader="none" w:pos="2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Clinical Data and Regulatory Compliance. </w:t>
      </w:r>
      <w:r>
        <w:rPr>
          <w:rFonts w:ascii="Times New Roman" w:cs="Times New Roman" w:eastAsia="Times New Roman" w:hAnsi="Times New Roman"/>
          <w:sz w:val="18"/>
          <w:szCs w:val="18"/>
          <w:color w:val="auto"/>
        </w:rPr>
        <w:t>The preclinical tests and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in, or the results of which are referred to in, the Registration Statement, the Time of Sale Prospectus or the Prospectus were and, if still pending, are being conducted in all material respects in accordance with applicable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would reasonably contradict the results described or referred to in the Registration Statement, the Time of Sale Prospectuses or the Prospectus; the Company and its subsidiaries have made all required filings and obtained all necessary approvals as may be required by the Food and Drug Administration of the U.S. Department of Health and Human Services or any regulatory authority thereof or from any other U.S. or foreign government or drug or regulatory agency, or health care authority, including Institutional Review Board,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material restriction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ectPr>
          <w:pgSz w:w="11900" w:h="16838" w:orient="portrait"/>
          <w:cols w:equalWidth="0" w:num="1">
            <w:col w:w="10544"/>
          </w:cols>
          <w:pgMar w:left="876" w:top="266" w:right="479" w:bottom="1440" w:gutter="0" w:footer="0" w:header="0"/>
        </w:sectPr>
      </w:pPr>
    </w:p>
    <w:bookmarkStart w:id="18" w:name="page19"/>
    <w:bookmarkEnd w:id="18"/>
    <w:p>
      <w:pPr>
        <w:ind w:left="-436" w:firstLine="436"/>
        <w:spacing w:after="0" w:line="253" w:lineRule="auto"/>
        <w:tabs>
          <w:tab w:leader="none" w:pos="4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directors, officers, or employees, nor, to the knowledge of the Company,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the so-called Donetsk People’s Republic, the so-called Luhansk People’s Republic, Cuba, Iran, North Korea, and Syria; and the Company will not directly or indirectly use the proceeds of this offering, or lend, contribute or otherwise make available such proceeds to any subsidiary, or any joint venture partner or other person or entity, for the purpose of funding or financing the activities of or business with any person, or in any country or territory, that at the time of such financing, is the subject or the target of Sanctions in violation of applicable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or involving any person that at the time of the dealing or transaction is or was the subject or the target of Sanctions or with any Sanctioned Country in violation of applicable Sanctions. The Company and its subsidiaries have instituted, and maintain, policies and procedures designed to promote and achieve continued compliance with Sanctions.</w:t>
      </w:r>
    </w:p>
    <w:p>
      <w:pPr>
        <w:spacing w:after="0" w:line="185" w:lineRule="exact"/>
        <w:rPr>
          <w:rFonts w:ascii="Times New Roman" w:cs="Times New Roman" w:eastAsia="Times New Roman" w:hAnsi="Times New Roman"/>
          <w:sz w:val="18"/>
          <w:szCs w:val="18"/>
          <w:b w:val="1"/>
          <w:bCs w:val="1"/>
          <w:color w:val="auto"/>
        </w:rPr>
      </w:pPr>
    </w:p>
    <w:p>
      <w:pPr>
        <w:ind w:left="-436" w:right="220" w:firstLine="436"/>
        <w:spacing w:after="0" w:line="286" w:lineRule="auto"/>
        <w:tabs>
          <w:tab w:leader="none" w:pos="36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Sarbanes-Oxley. </w:t>
      </w:r>
      <w:r>
        <w:rPr>
          <w:rFonts w:ascii="Times New Roman" w:cs="Times New Roman" w:eastAsia="Times New Roman" w:hAnsi="Times New Roman"/>
          <w:sz w:val="18"/>
          <w:szCs w:val="18"/>
          <w:color w:val="auto"/>
        </w:rPr>
        <w:t>The Company is in compliance, in all material respects, with all applicable provisions of the Sarbanes-Oxley Act of 2002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rules and regulations promulgated thereunder.</w:t>
      </w:r>
    </w:p>
    <w:p>
      <w:pPr>
        <w:spacing w:after="0" w:line="154" w:lineRule="exact"/>
        <w:rPr>
          <w:rFonts w:ascii="Times New Roman" w:cs="Times New Roman" w:eastAsia="Times New Roman" w:hAnsi="Times New Roman"/>
          <w:sz w:val="18"/>
          <w:szCs w:val="18"/>
          <w:b w:val="1"/>
          <w:bCs w:val="1"/>
          <w:color w:val="auto"/>
        </w:rPr>
      </w:pPr>
    </w:p>
    <w:p>
      <w:pPr>
        <w:ind w:left="-436" w:right="20" w:firstLine="436"/>
        <w:spacing w:after="0" w:line="253" w:lineRule="auto"/>
        <w:tabs>
          <w:tab w:leader="none" w:pos="34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Cybersecurity</w:t>
      </w:r>
      <w:r>
        <w:rPr>
          <w:rFonts w:ascii="Times New Roman" w:cs="Times New Roman" w:eastAsia="Times New Roman" w:hAnsi="Times New Roman"/>
          <w:sz w:val="18"/>
          <w:szCs w:val="18"/>
          <w:color w:val="auto"/>
        </w:rPr>
        <w:t>. Except as would not, individually or in the aggregate, reasonably be expected to have a Material Adverse Change,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in capacity and operation for, and operate and perform as required in connection with the operation of the business of the Company and its subsidiaries as currently conducted, free and clear of all material bugs, errors, defects, Trojan horses, time bombs, malware and other corruptants or malicious code. The Company and its subsidiaries have implemented and maintained commercially reasonable physical, technical and administrative controls, policies, procedures, and safeguards designed to maintain and protect their material confidential information and the integrity, continuous operation, redundancy and security of all IT Systems and confidential, sensitive or regulated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is defined as “personal information,” “personally identifiable information,” “personal data,” or any similar information governed by Privacy Laws (as defined below); (iii) “personal data” as defined by the European Union and United Kingdom General Data Protection Regulation (collectively,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w:t>
      </w:r>
    </w:p>
    <w:p>
      <w:pPr>
        <w:sectPr>
          <w:pgSz w:w="11900" w:h="16838" w:orient="portrait"/>
          <w:cols w:equalWidth="0" w:num="1">
            <w:col w:w="10584"/>
          </w:cols>
          <w:pgMar w:left="876" w:top="266" w:right="439" w:bottom="1440" w:gutter="0" w:footer="0" w:header="0"/>
        </w:sectPr>
      </w:pPr>
    </w:p>
    <w:bookmarkStart w:id="19" w:name="page20"/>
    <w:bookmarkEnd w:id="19"/>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health or sexual orientation. There have been no breaches, violations, outages or unauthorized uses of or accesses to same, except for those that have been remedied without material cost or liability or the duty to notify any other person, or which otherwise have not been and would not reasonably be expected to be material to the Company and its subsidiaries, taken as a whole, nor to the knowledge of the Company, any incidents under internal review or investigations relating to the same. Except as has not been and would not reasonably be expected to be material to the Company and its subsidiaries, taken as a whole, the Company and its subsidiaries are presently in compliance with all applicable laws or statutes and all applicable judgments, orders, rules and regulations of any court or arbitrator or governmental or regulatory authority, and all of the Company’s and its subsidiaries’ internal policies and contractual obligations relating to the privacy and security of IT Systems and Personal Data and to the protection of such IT Systems and Personal Data from unauthorized use, access, misappropriation or modification.</w:t>
      </w:r>
    </w:p>
    <w:p>
      <w:pPr>
        <w:spacing w:after="0" w:line="188" w:lineRule="exact"/>
        <w:rPr>
          <w:sz w:val="20"/>
          <w:szCs w:val="20"/>
          <w:color w:val="auto"/>
        </w:rPr>
      </w:pPr>
    </w:p>
    <w:p>
      <w:pPr>
        <w:ind w:left="4" w:right="20" w:firstLine="436"/>
        <w:spacing w:after="0" w:line="253" w:lineRule="auto"/>
        <w:tabs>
          <w:tab w:leader="none" w:pos="8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data privacy and security laws, rules, and regulations, including without limitation the final rule promulgated by the U.S. Department of Justice titled “Access to U.S. Sensitive Personal Data and Government-Related Data by Countries of Concern or Covered Persons,” 90 Fed. Reg. 1636 (Jan. 8, 2025) codified at 28 C.F.R. § 202, including any amendments thereto and guidance issued thereunder (together, the “</w:t>
      </w:r>
      <w:r>
        <w:rPr>
          <w:rFonts w:ascii="Times New Roman" w:cs="Times New Roman" w:eastAsia="Times New Roman" w:hAnsi="Times New Roman"/>
          <w:sz w:val="18"/>
          <w:szCs w:val="18"/>
          <w:b w:val="1"/>
          <w:bCs w:val="1"/>
          <w:color w:val="auto"/>
        </w:rPr>
        <w:t>U.S. 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HIPAA and the GDPR, as applicable (collectively, the “Privacy Laws”). The Company and its subsidiaries have in place, comply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 appropriate steps reasonably designed to ensure compliance with their policies and procedures relating to data privacy and security and the collection, storage, use, disclosure, handling, and analysis of Personal Data (the “Policies”). The Company and its subsidiaries have at all times made all disclosures to users or customers required by applicable Privacy Laws, and none of such disclosures made or contained in any Policy have, to the knowledge of the Company, been inaccurate or in violation of any applicable Privacy Laws. The Company and its subsidiaries (A) have not received notice of any actual or potential liability of the Company or its subsidiaries under or relating to, or actual or potential violation of, any of the Privacy Laws, and have no knowledge of any event or condition that would reasonably be expected to result in any such notice; (B) are currently not conducting nor paying for, in whole or in part, any investigation, remediation, or other corrective action pursuant to any order, decree, or agreement by or with any court or arbitrator or governmental or regulatory authority under or relating to any Privacy Law; or (C) are not a party to any order, decree, or agreement by or with any court or arbitrator or governmental or regulatory authority that imposes any obligation or liability under any Privacy Law.</w:t>
      </w:r>
    </w:p>
    <w:p>
      <w:pPr>
        <w:spacing w:after="0" w:line="185" w:lineRule="exact"/>
        <w:rPr>
          <w:rFonts w:ascii="Times New Roman" w:cs="Times New Roman" w:eastAsia="Times New Roman" w:hAnsi="Times New Roman"/>
          <w:sz w:val="18"/>
          <w:szCs w:val="18"/>
          <w:b w:val="1"/>
          <w:bCs w:val="1"/>
          <w:color w:val="auto"/>
        </w:rPr>
      </w:pPr>
    </w:p>
    <w:p>
      <w:pPr>
        <w:ind w:left="4" w:right="320" w:firstLine="436"/>
        <w:spacing w:after="0" w:line="256" w:lineRule="auto"/>
        <w:tabs>
          <w:tab w:leader="none" w:pos="8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Health Care Laws</w:t>
      </w:r>
      <w:r>
        <w:rPr>
          <w:rFonts w:ascii="Times New Roman" w:cs="Times New Roman" w:eastAsia="Times New Roman" w:hAnsi="Times New Roman"/>
          <w:sz w:val="18"/>
          <w:szCs w:val="18"/>
          <w:color w:val="auto"/>
        </w:rPr>
        <w:t>. The Company and its subsidiaries are, and at all times have been, in material compliance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Health Care Laws.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w:t>
      </w:r>
    </w:p>
    <w:p>
      <w:pPr>
        <w:spacing w:after="0" w:line="3" w:lineRule="exact"/>
        <w:rPr>
          <w:rFonts w:ascii="Times New Roman" w:cs="Times New Roman" w:eastAsia="Times New Roman" w:hAnsi="Times New Roman"/>
          <w:sz w:val="18"/>
          <w:szCs w:val="18"/>
          <w:b w:val="1"/>
          <w:bCs w:val="1"/>
          <w:color w:val="auto"/>
        </w:rPr>
      </w:pPr>
    </w:p>
    <w:p>
      <w:pPr>
        <w:ind w:left="4"/>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1320a-7b(b)), the Civil False Claims Act (31 U.S.C. Section 3729 et seq.), the criminal false statements law (42 U.S.C. Section 1320a-7b(a)), 18 U.S.C. Sections 286 and 287, the health care fraud criminal provisions under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the Patient Protection and Affordable Care Act of 2010, as amended by the Health Care and Education Reconciliation Act of 2010; (iv) licensure, quality, safety and accreditation requirements under applicable federal, state, local or foreign laws or regulatory bodies; and (v) all other local, state, federal, national, supranational and foreign health care laws, relating to the regulation of the Company or its subsidiaries, in each case excluding Privacy Laws and</w:t>
      </w:r>
    </w:p>
    <w:p>
      <w:pPr>
        <w:spacing w:after="0" w:line="2" w:lineRule="exact"/>
        <w:rPr>
          <w:rFonts w:ascii="Times New Roman" w:cs="Times New Roman" w:eastAsia="Times New Roman" w:hAnsi="Times New Roman"/>
          <w:sz w:val="18"/>
          <w:szCs w:val="18"/>
          <w:b w:val="1"/>
          <w:bCs w:val="1"/>
          <w:color w:val="auto"/>
        </w:rPr>
      </w:pPr>
    </w:p>
    <w:p>
      <w:pPr>
        <w:ind w:left="4" w:right="100" w:hanging="4"/>
        <w:spacing w:after="0" w:line="260" w:lineRule="auto"/>
        <w:tabs>
          <w:tab w:leader="none" w:pos="3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directives and regulations promulgated pursuant to such statutes and any state or non-U.S. counterpart thereof. Neither the Company nor any of its subsidiaries has received written notice of any claim, action, suit,</w:t>
      </w:r>
    </w:p>
    <w:p>
      <w:pPr>
        <w:sectPr>
          <w:pgSz w:w="11900" w:h="16838" w:orient="portrait"/>
          <w:cols w:equalWidth="0" w:num="1">
            <w:col w:w="11004"/>
          </w:cols>
          <w:pgMar w:left="436" w:top="270" w:right="459" w:bottom="1440" w:gutter="0" w:footer="0" w:header="0"/>
        </w:sectPr>
      </w:pPr>
    </w:p>
    <w:bookmarkStart w:id="20" w:name="page21"/>
    <w:bookmarkEnd w:id="20"/>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submissions and supplements or amendments as required by any Health Care Laws, and all such reports, documents, forms, notices, applications,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w:t>
      </w:r>
    </w:p>
    <w:p>
      <w:pPr>
        <w:spacing w:after="0" w:line="188" w:lineRule="exact"/>
        <w:rPr>
          <w:sz w:val="20"/>
          <w:szCs w:val="20"/>
          <w:color w:val="auto"/>
        </w:rPr>
      </w:pPr>
    </w:p>
    <w:p>
      <w:pPr>
        <w:ind w:right="20" w:firstLine="436"/>
        <w:spacing w:after="0" w:line="259" w:lineRule="auto"/>
        <w:tabs>
          <w:tab w:leader="none" w:pos="7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4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Communications. </w:t>
      </w:r>
      <w:r>
        <w:rPr>
          <w:rFonts w:ascii="Times New Roman" w:cs="Times New Roman" w:eastAsia="Times New Roman" w:hAnsi="Times New Roman"/>
          <w:sz w:val="18"/>
          <w:szCs w:val="18"/>
          <w:color w:val="auto"/>
        </w:rPr>
        <w:t>The Company (i) has not alone engaged in communications with potential investors in reliance on Section 5(d)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or Rule 163B under the Securities Act other than Permitted Testing-the-Waters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Oral Testing-the-Waters Communications and Written Testing-the-Waters Communications; as of the Applicable Time, each Permitted Testing-the-Waters Communication, when considered together with the Time of Sale Prospectus, did not, as of the Applicable Time, include an untrue statement of a material fact or omit to state a material fact necessary in order to make the statements therein, in light of the circumstances under which they were made, not misleading; and each Permitted Testing-the-Waters Communication, if any, does not, as of the date hereof, conflict with the information contained in the Registration Statement, the Preliminary Prospectus and the Prospectus.</w:t>
      </w:r>
    </w:p>
    <w:p>
      <w:pPr>
        <w:spacing w:after="0" w:line="188" w:lineRule="exact"/>
        <w:rPr>
          <w:rFonts w:ascii="Times New Roman" w:cs="Times New Roman" w:eastAsia="Times New Roman" w:hAnsi="Times New Roman"/>
          <w:sz w:val="18"/>
          <w:szCs w:val="18"/>
          <w:b w:val="1"/>
          <w:bCs w:val="1"/>
          <w:color w:val="auto"/>
        </w:rPr>
      </w:pPr>
    </w:p>
    <w:p>
      <w:pPr>
        <w:ind w:right="40" w:firstLine="436"/>
        <w:spacing w:after="0" w:line="257" w:lineRule="auto"/>
        <w:tabs>
          <w:tab w:leader="none" w:pos="72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ectPr>
          <w:pgSz w:w="11900" w:h="16838" w:orient="portrait"/>
          <w:cols w:equalWidth="0" w:num="1">
            <w:col w:w="11020"/>
          </w:cols>
          <w:pgMar w:left="440" w:top="270" w:right="439" w:bottom="1440" w:gutter="0" w:footer="0" w:header="0"/>
        </w:sectPr>
      </w:pPr>
    </w:p>
    <w:bookmarkStart w:id="21" w:name="page22"/>
    <w:bookmarkEnd w:id="21"/>
    <w:p>
      <w:pPr>
        <w:ind w:left="4" w:right="40" w:firstLine="436"/>
        <w:spacing w:after="0" w:line="257" w:lineRule="auto"/>
        <w:tabs>
          <w:tab w:leader="none" w:pos="80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Outbound Investment Security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is a “covered foreign person,” as that term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in 31 C.F.R. § 850.209. Neither the Company nor any of its subsidiaries currently engages, or has plans to engage, directly or indirectly, in a “covered activity,” as that term is defined in 31 C.F.R. § 850.208 (“</w:t>
      </w:r>
      <w:r>
        <w:rPr>
          <w:rFonts w:ascii="Times New Roman" w:cs="Times New Roman" w:eastAsia="Times New Roman" w:hAnsi="Times New Roman"/>
          <w:sz w:val="18"/>
          <w:szCs w:val="18"/>
          <w:b w:val="1"/>
          <w:bCs w:val="1"/>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176"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36"/>
        <w:spacing w:after="0" w:line="257" w:lineRule="auto"/>
        <w:tabs>
          <w:tab w:leader="none" w:pos="69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8,933,334 Firm Shares and 1,733,333 Pre-Funded Warrants. On the basis of the representations, warranties and agreements herein contained, and upon the terms but subject to the conditions herein set forth, the Underwriters agree, severally and not jointly, to purchase from the Company the respective number of Firm Shares and Pre-Funded Warrants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Offered Share to be paid by the several Underwriters to the Company shall be $35.25 per Offered Share and the purchase price per Pre-Funded Warrant to be paid by the several Underwriters to the Company shall be $35.249.</w:t>
      </w:r>
    </w:p>
    <w:p>
      <w:pPr>
        <w:spacing w:after="0" w:line="182" w:lineRule="exact"/>
        <w:rPr>
          <w:rFonts w:ascii="Times New Roman" w:cs="Times New Roman" w:eastAsia="Times New Roman" w:hAnsi="Times New Roman"/>
          <w:sz w:val="18"/>
          <w:szCs w:val="18"/>
          <w:b w:val="1"/>
          <w:bCs w:val="1"/>
          <w:color w:val="auto"/>
        </w:rPr>
      </w:pPr>
    </w:p>
    <w:p>
      <w:pPr>
        <w:ind w:left="4" w:right="100" w:firstLine="436"/>
        <w:spacing w:after="0" w:line="256" w:lineRule="auto"/>
        <w:tabs>
          <w:tab w:leader="none" w:pos="70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the Firm Shares and the Pre-Funded Warrants to be purchased by the Underwriters and payment therefor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made at the offices of Cooley LLP (or such other place as may be agreed to by the Company and the Representatives) at 9:00 a.m. New York City time, on June 15, 2026, or such other time and date not later than 1:30 p.m. New York City time, on June 26, 2026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689"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Optional Shares; Option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on the basis of the representations, warranties and agreements herein contained,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but subject to the conditions herein set forth, the Company hereby grants an option to the several Underwriters to purchase, severally and not jointly, up to an aggregate of 1,600,000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Such notice shall set forth</w:t>
      </w:r>
    </w:p>
    <w:p>
      <w:pPr>
        <w:spacing w:after="0" w:line="3" w:lineRule="exact"/>
        <w:rPr>
          <w:rFonts w:ascii="Times New Roman" w:cs="Times New Roman" w:eastAsia="Times New Roman" w:hAnsi="Times New Roman"/>
          <w:sz w:val="18"/>
          <w:szCs w:val="18"/>
          <w:b w:val="1"/>
          <w:bCs w:val="1"/>
          <w:color w:val="auto"/>
        </w:rPr>
      </w:pPr>
    </w:p>
    <w:p>
      <w:pPr>
        <w:ind w:left="4" w:right="60" w:hanging="4"/>
        <w:spacing w:after="0" w:line="253"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Securities and such Optional Shares). Any such time and date of delivery, if subsequent to the First</w:t>
      </w:r>
    </w:p>
    <w:p>
      <w:pPr>
        <w:sectPr>
          <w:pgSz w:w="11900" w:h="16838" w:orient="portrait"/>
          <w:cols w:equalWidth="0" w:num="1">
            <w:col w:w="11004"/>
          </w:cols>
          <w:pgMar w:left="436" w:top="266" w:right="459" w:bottom="1440" w:gutter="0" w:footer="0" w:header="0"/>
        </w:sectPr>
      </w:pPr>
    </w:p>
    <w:bookmarkStart w:id="22" w:name="page23"/>
    <w:bookmarkEnd w:id="22"/>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Securities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Securities. The Representatives may cancel the option at any time prior to its expiration by giving written notice of such cancellation to the Company.</w:t>
      </w:r>
    </w:p>
    <w:p>
      <w:pPr>
        <w:spacing w:after="0" w:line="182" w:lineRule="exact"/>
        <w:rPr>
          <w:sz w:val="20"/>
          <w:szCs w:val="20"/>
          <w:color w:val="auto"/>
        </w:rPr>
      </w:pPr>
    </w:p>
    <w:p>
      <w:pPr>
        <w:ind w:firstLine="436"/>
        <w:spacing w:after="0" w:line="262" w:lineRule="auto"/>
        <w:tabs>
          <w:tab w:leader="none" w:pos="70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Offering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their respective portions of the Offered Securities as soon after this Agreement has been executed as the Representatives, in their sole judgment, have determined is advisable and practicable.</w:t>
      </w:r>
    </w:p>
    <w:p>
      <w:pPr>
        <w:spacing w:after="0" w:line="176"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68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Payment for the Offered Securities to be sold by the Company shall be made at the First Closing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if applicable, at each Option Closing Date) by wire transfer of immediately available funds to the order of the Company.</w:t>
      </w:r>
    </w:p>
    <w:p>
      <w:pPr>
        <w:spacing w:after="0" w:line="158" w:lineRule="exact"/>
        <w:rPr>
          <w:rFonts w:ascii="Times New Roman" w:cs="Times New Roman" w:eastAsia="Times New Roman" w:hAnsi="Times New Roman"/>
          <w:sz w:val="18"/>
          <w:szCs w:val="18"/>
          <w:b w:val="1"/>
          <w:bCs w:val="1"/>
          <w:color w:val="auto"/>
        </w:rPr>
      </w:pPr>
    </w:p>
    <w:p>
      <w:pPr>
        <w:ind w:right="160" w:firstLine="987"/>
        <w:spacing w:after="0" w:line="256" w:lineRule="auto"/>
        <w:tabs>
          <w:tab w:leader="none" w:pos="12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Representatives have been authorized, for their own account and the accounts of the several Underwriters, to accept delivery of and receipt for, and make payment of the purchase price for, the Firm Shares, the Pre-Funded Warrants and any Optional Shares the Underwriters have agreed to purchase. Each of Jefferies, Goldman, Morgan Stanley and Barclays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3" w:lineRule="exact"/>
        <w:rPr>
          <w:rFonts w:ascii="Times New Roman" w:cs="Times New Roman" w:eastAsia="Times New Roman" w:hAnsi="Times New Roman"/>
          <w:sz w:val="18"/>
          <w:szCs w:val="18"/>
          <w:color w:val="auto"/>
        </w:rPr>
      </w:pPr>
    </w:p>
    <w:p>
      <w:pPr>
        <w:ind w:right="40" w:firstLine="436"/>
        <w:spacing w:after="0" w:line="252" w:lineRule="auto"/>
        <w:tabs>
          <w:tab w:leader="none" w:pos="6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the Offered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(i) deliver, or cause to be delivered to the Representatives for the accounts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Underwriters certificates for the Firm Shares to be sold by them at the First Closing Date and (ii) deliver, or cause to be delivered to the purchaser(s) thereof, the Pre-Funded Warrants in accordance with the Representatives’ instructions, to be sold by them, in each case,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Delivery of the Offered Securities shall be made by credit to the accounts designated by Jefferies through The Depository Trust Company’s full fast transfer or DWAC programs. If the Representatives so elect,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provided, however that if the Company, upon the instruction of the Representatives, registers the Pre-Funded Warrants in the name of any person or entity to whom any Underwriter intends to sell such Pre-Funded Warrants, then such Underwriter shall have the right to thereafter request the re-registration of such Pre-Funded Warrants (and the Company shall be required to re-register such Pre-Funded Warrants) in the name of any other person or entity (it being understood that such re-registration is intended to permit an Underwriter to resell such Pre-Funded Warrants in the event that the person or entity to whom such</w:t>
      </w:r>
    </w:p>
    <w:p>
      <w:pPr>
        <w:sectPr>
          <w:pgSz w:w="11900" w:h="16838" w:orient="portrait"/>
          <w:cols w:equalWidth="0" w:num="1">
            <w:col w:w="11000"/>
          </w:cols>
          <w:pgMar w:left="440" w:top="266" w:right="459" w:bottom="1440" w:gutter="0" w:footer="0" w:header="0"/>
        </w:sectPr>
      </w:pPr>
    </w:p>
    <w:bookmarkStart w:id="23" w:name="page24"/>
    <w:bookmarkEnd w:id="23"/>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originally intended to sell such Pre-Funded Warrants shall fail to pay the purchase price of such Pre-Funded Warrants). Time shall be of the essence, and delivery at the time and place specified in this Agreement is a further condition to the obligations of the Underwriters. Notwithstanding the foregoing, the Company and the Representatives shall instruct purchasers of the Pre-Funded Warrants to make payment for the Pre-Funded Warrants on the First Closing Date to the Company by wire transfer in immediately available funds to the account specified by the Company at a purchase price of $37.499 per Pre-Funded Warrant, in lieu of payment by the Underwriters for such Pre-Funded Warrants, and the Company shall deliver the Pre-Funded Warrants to such purchasers on the First Closing Date in definitive paper form against such payment, in lieu of the Company’s obligation to deliver the Pre-Funded Warrants to the Representatives; provided that, the Underwriters shall withhold $2.25 per Pre-Funded Warrant with respect to such Pre-Funded Warrants as an offset effected by the Company of its claim for payment by the Underwriters to the Company for the Firm Shares and Optional Shares (only to the extent the Underwriters’ option under Section 2(c) hereof is exercised concurrently to close on the First Closing Date) against the Company’s obligation to pay the amount so withheld with respect to such Pre-Funded Warrants to the Underwriters. In the event that any purchaser of the Pre-Funded Warrants fails to make payment to the Company for all or part of the Pre-Funded Warrants on the First Closing Date, the Representatives shall either (i) make payment to the Company for such Pre-Funded Warrants at the combined purchase price specified in Section 2(a) or</w:t>
      </w:r>
    </w:p>
    <w:p>
      <w:pPr>
        <w:spacing w:after="0" w:line="1" w:lineRule="exact"/>
        <w:rPr>
          <w:sz w:val="20"/>
          <w:szCs w:val="20"/>
          <w:color w:val="auto"/>
        </w:rPr>
      </w:pPr>
    </w:p>
    <w:p>
      <w:pPr>
        <w:ind w:left="4" w:right="140" w:hanging="4"/>
        <w:spacing w:after="0" w:line="260"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by written notice to the Company, to receive Shares at the combined purchase price specified in Section 2(a) in lieu of all or a portion of such Pre-Funded Warrants contemplated to be sold under this Agreement.</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Section 3. Additional Covenants of the Company.</w:t>
      </w:r>
    </w:p>
    <w:p>
      <w:pPr>
        <w:spacing w:after="0" w:line="225" w:lineRule="exact"/>
        <w:rPr>
          <w:sz w:val="20"/>
          <w:szCs w:val="20"/>
          <w:color w:val="auto"/>
        </w:rPr>
      </w:pPr>
    </w:p>
    <w:p>
      <w:pPr>
        <w:ind w:left="4" w:right="280" w:firstLine="436"/>
        <w:spacing w:after="0" w:line="268" w:lineRule="auto"/>
        <w:tabs>
          <w:tab w:leader="none" w:pos="69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Commission Filing Fees. </w:t>
      </w:r>
      <w:r>
        <w:rPr>
          <w:rFonts w:ascii="Times New Roman" w:cs="Times New Roman" w:eastAsia="Times New Roman" w:hAnsi="Times New Roman"/>
          <w:sz w:val="18"/>
          <w:szCs w:val="18"/>
          <w:color w:val="auto"/>
        </w:rPr>
        <w:t>The Company agrees to pay the required Commission filing fees related to the Offered Securities within the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Rule 456(b)(1) under the Securities Act without regard to the proviso therein and otherwise in accordance with Rules 456(b) and 457(r) under the Securities Act.</w:t>
      </w:r>
    </w:p>
    <w:p>
      <w:pPr>
        <w:spacing w:after="0" w:line="170" w:lineRule="exact"/>
        <w:rPr>
          <w:rFonts w:ascii="Times New Roman" w:cs="Times New Roman" w:eastAsia="Times New Roman" w:hAnsi="Times New Roman"/>
          <w:sz w:val="18"/>
          <w:szCs w:val="18"/>
          <w:b w:val="1"/>
          <w:bCs w:val="1"/>
          <w:color w:val="auto"/>
        </w:rPr>
      </w:pPr>
    </w:p>
    <w:p>
      <w:pPr>
        <w:ind w:left="4" w:right="80" w:firstLine="436"/>
        <w:spacing w:after="0" w:line="259" w:lineRule="auto"/>
        <w:tabs>
          <w:tab w:leader="none" w:pos="70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Registration Statement, Time of Sale Prospectus and Prospectus. </w:t>
      </w:r>
      <w:r>
        <w:rPr>
          <w:rFonts w:ascii="Times New Roman" w:cs="Times New Roman" w:eastAsia="Times New Roman" w:hAnsi="Times New Roman"/>
          <w:sz w:val="18"/>
          <w:szCs w:val="18"/>
          <w:color w:val="auto"/>
        </w:rPr>
        <w:t>The Company shall furnish to you in New York City,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prior to 6:00 p.m. New York City time on the first business day following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179" w:lineRule="exact"/>
        <w:rPr>
          <w:rFonts w:ascii="Times New Roman" w:cs="Times New Roman" w:eastAsia="Times New Roman" w:hAnsi="Times New Roman"/>
          <w:sz w:val="18"/>
          <w:szCs w:val="18"/>
          <w:b w:val="1"/>
          <w:bCs w:val="1"/>
          <w:color w:val="auto"/>
        </w:rPr>
      </w:pPr>
    </w:p>
    <w:p>
      <w:pPr>
        <w:ind w:left="4" w:firstLine="436"/>
        <w:spacing w:after="0" w:line="253" w:lineRule="auto"/>
        <w:tabs>
          <w:tab w:leader="none" w:pos="68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other than Exchange Act filings made solely to comply with legal obligations and not to otherwise update any disclosure required by Section 3(f) hereof) without the Representatives’ prior written consent, which consent shall not be unreasonably withheld or delayed. Prior to amending or supplementing any preliminary prospectus, the Time of Sale Prospectus or the Prospectus (including any amendment or supplement through incorporation of any report filed under the Exchange Act, other than Exchange Act filings made solely to comply with legal obligations and not to otherwise update any disclosure required by Section 3(f) hereof),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or delayed. The Company shall file with the Commission within the applicable period specified in Rule 424(b) under the Securities Act any prospectus required to be filed pursuant to such Rule.</w:t>
      </w:r>
    </w:p>
    <w:p>
      <w:pPr>
        <w:sectPr>
          <w:pgSz w:w="11900" w:h="16838" w:orient="portrait"/>
          <w:cols w:equalWidth="0" w:num="1">
            <w:col w:w="11004"/>
          </w:cols>
          <w:pgMar w:left="436" w:top="270" w:right="459" w:bottom="1440" w:gutter="0" w:footer="0" w:header="0"/>
        </w:sectPr>
      </w:pPr>
    </w:p>
    <w:bookmarkStart w:id="24" w:name="page25"/>
    <w:bookmarkEnd w:id="24"/>
    <w:p>
      <w:pPr>
        <w:ind w:left="-436" w:firstLine="436"/>
        <w:spacing w:after="0" w:line="252" w:lineRule="auto"/>
        <w:tabs>
          <w:tab w:leader="none" w:pos="2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Free Writing Prospectuses.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light of the circumstances prevailing at such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or delayed.</w:t>
      </w:r>
    </w:p>
    <w:p>
      <w:pPr>
        <w:spacing w:after="0" w:line="191" w:lineRule="exact"/>
        <w:rPr>
          <w:rFonts w:ascii="Times New Roman" w:cs="Times New Roman" w:eastAsia="Times New Roman" w:hAnsi="Times New Roman"/>
          <w:sz w:val="18"/>
          <w:szCs w:val="18"/>
          <w:b w:val="1"/>
          <w:bCs w:val="1"/>
          <w:color w:val="auto"/>
        </w:rPr>
      </w:pPr>
    </w:p>
    <w:p>
      <w:pPr>
        <w:ind w:left="-436" w:right="20" w:firstLine="436"/>
        <w:spacing w:after="0" w:line="268" w:lineRule="auto"/>
        <w:tabs>
          <w:tab w:leader="none" w:pos="24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Filing of Underwriter Free Writing Prospectuses. </w:t>
      </w:r>
      <w:r>
        <w:rPr>
          <w:rFonts w:ascii="Times New Roman" w:cs="Times New Roman" w:eastAsia="Times New Roman" w:hAnsi="Times New Roman"/>
          <w:sz w:val="18"/>
          <w:szCs w:val="18"/>
          <w:color w:val="auto"/>
        </w:rPr>
        <w:t>The Company shall not take any action that would result in an Underwriter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0" w:lineRule="exact"/>
        <w:rPr>
          <w:rFonts w:ascii="Times New Roman" w:cs="Times New Roman" w:eastAsia="Times New Roman" w:hAnsi="Times New Roman"/>
          <w:sz w:val="18"/>
          <w:szCs w:val="18"/>
          <w:b w:val="1"/>
          <w:bCs w:val="1"/>
          <w:color w:val="auto"/>
        </w:rPr>
      </w:pPr>
    </w:p>
    <w:p>
      <w:pPr>
        <w:ind w:left="-436" w:firstLine="436"/>
        <w:spacing w:after="0" w:line="253" w:lineRule="auto"/>
        <w:tabs>
          <w:tab w:leader="none" w:pos="22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Time of Sale Prospectus.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light of the circumstances when delivered to a prospective purchaser, not misleading, or if any event shall occur or condition exist as a result of which the Time of Sale Prospectus conflicts with the information contained in the Registration Statement, or if, in the reasonable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ectPr>
          <w:pgSz w:w="11900" w:h="16838" w:orient="portrait"/>
          <w:cols w:equalWidth="0" w:num="1">
            <w:col w:w="10564"/>
          </w:cols>
          <w:pgMar w:left="876" w:top="266" w:right="459" w:bottom="1440" w:gutter="0" w:footer="0" w:header="0"/>
        </w:sectPr>
      </w:pPr>
    </w:p>
    <w:bookmarkStart w:id="25" w:name="page26"/>
    <w:bookmarkEnd w:id="25"/>
    <w:p>
      <w:pPr>
        <w:ind w:left="-436" w:right="20" w:firstLine="436"/>
        <w:spacing w:after="0" w:line="252" w:lineRule="auto"/>
        <w:tabs>
          <w:tab w:leader="none" w:pos="25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the Company shall promptly advise the Representatives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of (which may be by email): (i) the receipt of any comments of, or requests for additional or supplemental information from, the Commission relating to the Registration Statement, the Time of Sale Prospectus or the Prospectus;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If, after the date of this Agreement and during any time when a prospectus is required by the Securities Act to be delivered (whether physically or through compliance with Rule 172 under the Securities Act or any similar rule), the Company receives notice pursuant to Rule 401(g)(2) under the Securities Act from the Commission or otherwise ceases to be eligible to use the automatic shelf registration form, the Company shall promptly advise the Representatives in writing of such notice or ineligibility and will (i) promptly file a new registration statement or post-effective amendment on the proper form relating to the Offered Securities, (ii) use its best efforts to cause such registration statement or post-effective amendment to be declared effective by the Commission as soon as practicable and (iii) promptly notify the Representative in writing of such effectiveness.</w:t>
      </w:r>
    </w:p>
    <w:p>
      <w:pPr>
        <w:spacing w:after="0" w:line="190" w:lineRule="exact"/>
        <w:rPr>
          <w:rFonts w:ascii="Times New Roman" w:cs="Times New Roman" w:eastAsia="Times New Roman" w:hAnsi="Times New Roman"/>
          <w:sz w:val="18"/>
          <w:szCs w:val="18"/>
          <w:b w:val="1"/>
          <w:bCs w:val="1"/>
          <w:color w:val="auto"/>
        </w:rPr>
      </w:pPr>
    </w:p>
    <w:p>
      <w:pPr>
        <w:ind w:left="-436" w:firstLine="436"/>
        <w:spacing w:after="0" w:line="253" w:lineRule="auto"/>
        <w:tabs>
          <w:tab w:leader="none" w:pos="26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any event shall occur or condition exist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is necessary to amend or supplement the Prospectus so that the Prospectus does not include an untrue statement of a material fact or omit to state a material fact necessary in order to make the statements therein, in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ectPr>
          <w:pgSz w:w="11900" w:h="16838" w:orient="portrait"/>
          <w:cols w:equalWidth="0" w:num="1">
            <w:col w:w="10544"/>
          </w:cols>
          <w:pgMar w:left="876" w:top="266" w:right="479" w:bottom="1440" w:gutter="0" w:footer="0" w:header="0"/>
        </w:sectPr>
      </w:pPr>
    </w:p>
    <w:bookmarkStart w:id="26" w:name="page27"/>
    <w:bookmarkEnd w:id="26"/>
    <w:p>
      <w:pPr>
        <w:ind w:left="4" w:right="20" w:firstLine="436"/>
        <w:spacing w:after="0" w:line="255" w:lineRule="auto"/>
        <w:tabs>
          <w:tab w:leader="none" w:pos="65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4" w:lineRule="exact"/>
        <w:rPr>
          <w:rFonts w:ascii="Times New Roman" w:cs="Times New Roman" w:eastAsia="Times New Roman" w:hAnsi="Times New Roman"/>
          <w:sz w:val="18"/>
          <w:szCs w:val="18"/>
          <w:b w:val="1"/>
          <w:bCs w:val="1"/>
          <w:color w:val="auto"/>
        </w:rPr>
      </w:pPr>
    </w:p>
    <w:p>
      <w:pPr>
        <w:ind w:left="4" w:right="320" w:firstLine="436"/>
        <w:spacing w:after="0" w:line="286" w:lineRule="auto"/>
        <w:tabs>
          <w:tab w:leader="none" w:pos="6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Securities sold by it in all material respects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described under the caption “Use of Proceeds” in the Registration Statement, the Time of Sale Prospectus and the Prospectus.</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 and Warrant Shares.</w:t>
      </w:r>
    </w:p>
    <w:p>
      <w:pPr>
        <w:spacing w:after="0" w:line="225" w:lineRule="exact"/>
        <w:rPr>
          <w:rFonts w:ascii="Times New Roman" w:cs="Times New Roman" w:eastAsia="Times New Roman" w:hAnsi="Times New Roman"/>
          <w:sz w:val="18"/>
          <w:szCs w:val="18"/>
          <w:b w:val="1"/>
          <w:bCs w:val="1"/>
          <w:color w:val="auto"/>
        </w:rPr>
      </w:pPr>
    </w:p>
    <w:p>
      <w:pPr>
        <w:ind w:left="4" w:right="200" w:firstLine="436"/>
        <w:spacing w:after="0" w:line="272" w:lineRule="auto"/>
        <w:tabs>
          <w:tab w:leader="none" w:pos="659"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Earnings Statement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will make generally available to its security holders and to the Representatives as soon as practicable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provided that the Company will be deemed to have made generally available such statement to the extent it is available on</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EDGAR.</w:t>
      </w:r>
    </w:p>
    <w:p>
      <w:pPr>
        <w:spacing w:after="0" w:line="202" w:lineRule="exact"/>
        <w:rPr>
          <w:rFonts w:ascii="Times New Roman" w:cs="Times New Roman" w:eastAsia="Times New Roman" w:hAnsi="Times New Roman"/>
          <w:sz w:val="17"/>
          <w:szCs w:val="17"/>
          <w:b w:val="1"/>
          <w:bCs w:val="1"/>
          <w:color w:val="auto"/>
        </w:rPr>
      </w:pPr>
    </w:p>
    <w:p>
      <w:pPr>
        <w:ind w:left="4" w:right="20" w:firstLine="436"/>
        <w:spacing w:after="0" w:line="259" w:lineRule="auto"/>
        <w:tabs>
          <w:tab w:leader="none" w:pos="75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Securities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79"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use its best efforts to list, subject to notice of issuance, the Offered Shares and the Warrant Shares on Nasdaq.</w:t>
      </w:r>
    </w:p>
    <w:p>
      <w:pPr>
        <w:spacing w:after="0" w:line="225"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699"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Company to Provide Copy of the Prospectus in Form That May be Downloaded from the Internet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requested by the Representatives,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shall cause to be prepared and delivered, at its expense, within one business day from the effective date of this Agreement, to the Representatives an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to be used by the Underwriters in connection with the offering and sale of the Offered Securities. As used herein, the term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Securities;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4" w:lineRule="exact"/>
        <w:rPr>
          <w:rFonts w:ascii="Times New Roman" w:cs="Times New Roman" w:eastAsia="Times New Roman" w:hAnsi="Times New Roman"/>
          <w:sz w:val="17"/>
          <w:szCs w:val="17"/>
          <w:b w:val="1"/>
          <w:bCs w:val="1"/>
          <w:color w:val="auto"/>
        </w:rPr>
      </w:pPr>
    </w:p>
    <w:p>
      <w:pPr>
        <w:ind w:left="324" w:hanging="324"/>
        <w:spacing w:after="0"/>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in or convertible into a paper format or an electronic format,</w:t>
      </w:r>
    </w:p>
    <w:p>
      <w:pPr>
        <w:sectPr>
          <w:pgSz w:w="11900" w:h="16838" w:orient="portrait"/>
          <w:cols w:equalWidth="0" w:num="1">
            <w:col w:w="10964"/>
          </w:cols>
          <w:pgMar w:left="436" w:top="266" w:right="499" w:bottom="1440" w:gutter="0" w:footer="0" w:header="0"/>
        </w:sectPr>
      </w:pPr>
    </w:p>
    <w:bookmarkStart w:id="27" w:name="page28"/>
    <w:bookmarkEnd w:id="27"/>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179" w:lineRule="exact"/>
        <w:rPr>
          <w:sz w:val="20"/>
          <w:szCs w:val="20"/>
          <w:color w:val="auto"/>
        </w:rPr>
      </w:pPr>
    </w:p>
    <w:p>
      <w:pPr>
        <w:ind w:left="4" w:right="60" w:firstLine="436"/>
        <w:spacing w:after="0" w:line="253" w:lineRule="auto"/>
        <w:tabs>
          <w:tab w:leader="none" w:pos="70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period commencing on and including the date hereof and continuing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including the 60th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Company will not, without the prior written consent of Jefferies and Goldman (which consent may be withheld in their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w:t>
      </w:r>
    </w:p>
    <w:p>
      <w:pPr>
        <w:spacing w:after="0" w:line="2" w:lineRule="exact"/>
        <w:rPr>
          <w:rFonts w:ascii="Times New Roman" w:cs="Times New Roman" w:eastAsia="Times New Roman" w:hAnsi="Times New Roman"/>
          <w:sz w:val="18"/>
          <w:szCs w:val="18"/>
          <w:b w:val="1"/>
          <w:bCs w:val="1"/>
          <w:color w:val="auto"/>
        </w:rPr>
      </w:pPr>
    </w:p>
    <w:p>
      <w:pPr>
        <w:ind w:left="4" w:hanging="4"/>
        <w:spacing w:after="0" w:line="243" w:lineRule="auto"/>
        <w:tabs>
          <w:tab w:leader="none" w:pos="3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 or file any registration statement under the Securities Act in respect of any Shares or Related Securities (other than as contemplated by this Agreement with respect to the Offered Securities); (viii) effect a reverse stock split, recapitalization, share consolidation, reclassification or similar transaction affecting the outstanding Shares; or (ix) publicly announce the intention to do any of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(A) effect the transactions contemplated hereby, (B) issue Shares or options to purchase Shares, or issue Shares upon exercise of options, pursuant to any stock option, stock bonus or other stock plan or arrangement described in the Registration Statement, the Time of Sale Prospectus and the Prospectus, (C) sell Shares of the Company in “at-the-market” offerings pursuant to that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by and between the Company and Jefferies LLC, dated June 23, 2023, as amended from time to time; provided, that no sales shall be made until the earlier of the (x) exercise in full by the Underwriters of their option to purchase the Optional Shares and (y) 30 days from the date of the Prospectus, (D) issue Shares in connection with the Company’s bona fide commercial transactions (including joint ventures, commercial relationships or other strategic transactions); provided, that the aggregate number of Shares (including Related Securities, on an as-converted or as-exercised basis, as the case may be) that the Company may issue pursuant to this clause (D) shall not exceed 5% of the total number of Shares immediately following the completion of the transactions contemplated of this Agreement and (E) the issuance and sale of the Offered Securities to be issued hereunder or exchange of or conversion of any Offered Securities issued hereunder and/or other securities exercisable or exchangeable for or convertible into shares of Common Stock issued and outstanding on the date of this Agreement.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03" w:lineRule="exact"/>
        <w:rPr>
          <w:rFonts w:ascii="Times New Roman" w:cs="Times New Roman" w:eastAsia="Times New Roman" w:hAnsi="Times New Roman"/>
          <w:sz w:val="18"/>
          <w:szCs w:val="18"/>
          <w:color w:val="auto"/>
        </w:rPr>
      </w:pPr>
    </w:p>
    <w:p>
      <w:pPr>
        <w:ind w:left="4" w:right="60" w:firstLine="436"/>
        <w:spacing w:after="0" w:line="259" w:lineRule="auto"/>
        <w:tabs>
          <w:tab w:leader="none" w:pos="70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Future Reports to the Representatives. </w:t>
      </w:r>
      <w:r>
        <w:rPr>
          <w:rFonts w:ascii="Times New Roman" w:cs="Times New Roman" w:eastAsia="Times New Roman" w:hAnsi="Times New Roman"/>
          <w:sz w:val="18"/>
          <w:szCs w:val="18"/>
          <w:color w:val="auto"/>
        </w:rPr>
        <w:t>During the period of five years hereafter, the Company will furnish to the Representatives,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addresses set forth in Section 15 hereto: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w:t>
      </w:r>
    </w:p>
    <w:p>
      <w:pPr>
        <w:sectPr>
          <w:pgSz w:w="11900" w:h="16838" w:orient="portrait"/>
          <w:cols w:equalWidth="0" w:num="1">
            <w:col w:w="11024"/>
          </w:cols>
          <w:pgMar w:left="436" w:top="270" w:right="43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requirements of this Section 3(q) shall be satisfied to the extent that such reports, statement, communications, financial statements or other documents are available on EDGAR.</w:t>
      </w:r>
    </w:p>
    <w:p>
      <w:pPr>
        <w:spacing w:after="0" w:line="176" w:lineRule="exact"/>
        <w:rPr>
          <w:sz w:val="20"/>
          <w:szCs w:val="20"/>
          <w:color w:val="auto"/>
        </w:rPr>
      </w:pPr>
    </w:p>
    <w:p>
      <w:pPr>
        <w:ind w:right="380" w:firstLine="436"/>
        <w:spacing w:after="0" w:line="268" w:lineRule="auto"/>
        <w:tabs>
          <w:tab w:leader="none" w:pos="6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in such a manner as would require the Company or any of its subsidiaries to register as an investment company under the Investment Company Act.</w:t>
      </w:r>
    </w:p>
    <w:p>
      <w:pPr>
        <w:spacing w:after="0" w:line="170" w:lineRule="exact"/>
        <w:rPr>
          <w:rFonts w:ascii="Times New Roman" w:cs="Times New Roman" w:eastAsia="Times New Roman" w:hAnsi="Times New Roman"/>
          <w:sz w:val="18"/>
          <w:szCs w:val="18"/>
          <w:b w:val="1"/>
          <w:bCs w:val="1"/>
          <w:color w:val="auto"/>
        </w:rPr>
      </w:pPr>
    </w:p>
    <w:p>
      <w:pPr>
        <w:ind w:right="60" w:firstLine="436"/>
        <w:spacing w:after="0" w:line="262" w:lineRule="auto"/>
        <w:tabs>
          <w:tab w:leader="none" w:pos="6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not take, and will ensure that no affiliate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take, directly or indirectly, any action designed to or that might cause or result in stabilization or manipulation of the price of the Shares or any reference security with respect to the Shares, whether to facilitate the sale or resale of the Offered Securities or otherwise, and the Company will, and shall cause each of its affiliates to, comply with all applicable provisions of Regulation M.</w:t>
      </w:r>
    </w:p>
    <w:p>
      <w:pPr>
        <w:spacing w:after="0" w:line="176" w:lineRule="exact"/>
        <w:rPr>
          <w:rFonts w:ascii="Times New Roman" w:cs="Times New Roman" w:eastAsia="Times New Roman" w:hAnsi="Times New Roman"/>
          <w:sz w:val="18"/>
          <w:szCs w:val="18"/>
          <w:b w:val="1"/>
          <w:bCs w:val="1"/>
          <w:color w:val="auto"/>
        </w:rPr>
      </w:pPr>
    </w:p>
    <w:p>
      <w:pPr>
        <w:ind w:right="100" w:firstLine="436"/>
        <w:spacing w:after="0" w:line="257" w:lineRule="auto"/>
        <w:tabs>
          <w:tab w:leader="none" w:pos="66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certain securityholders pursuant to Section 6(i) hereof.</w:t>
      </w:r>
    </w:p>
    <w:p>
      <w:pPr>
        <w:spacing w:after="0" w:line="182" w:lineRule="exact"/>
        <w:rPr>
          <w:rFonts w:ascii="Times New Roman" w:cs="Times New Roman" w:eastAsia="Times New Roman" w:hAnsi="Times New Roman"/>
          <w:sz w:val="18"/>
          <w:szCs w:val="18"/>
          <w:b w:val="1"/>
          <w:bCs w:val="1"/>
          <w:color w:val="auto"/>
        </w:rPr>
      </w:pPr>
    </w:p>
    <w:p>
      <w:pPr>
        <w:ind w:right="240" w:firstLine="436"/>
        <w:spacing w:after="0" w:line="259" w:lineRule="auto"/>
        <w:tabs>
          <w:tab w:leader="none" w:pos="70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Company to Provide Interim 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First Closing Date and each applicable Option Closing Date,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however, that the requirements of this Section 3(u) shall be deemed satisfied to the extent that such financial statements are available on EDGAR.</w:t>
      </w:r>
    </w:p>
    <w:p>
      <w:pPr>
        <w:spacing w:after="0" w:line="179" w:lineRule="exact"/>
        <w:rPr>
          <w:rFonts w:ascii="Times New Roman" w:cs="Times New Roman" w:eastAsia="Times New Roman" w:hAnsi="Times New Roman"/>
          <w:sz w:val="18"/>
          <w:szCs w:val="18"/>
          <w:b w:val="1"/>
          <w:bCs w:val="1"/>
          <w:color w:val="auto"/>
        </w:rPr>
      </w:pPr>
    </w:p>
    <w:p>
      <w:pPr>
        <w:ind w:right="100" w:firstLine="436"/>
        <w:spacing w:after="0" w:line="257" w:lineRule="auto"/>
        <w:tabs>
          <w:tab w:leader="none" w:pos="69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Permitted Testing-the-Waters Communications. </w:t>
      </w:r>
      <w:r>
        <w:rPr>
          <w:rFonts w:ascii="Times New Roman" w:cs="Times New Roman" w:eastAsia="Times New Roman" w:hAnsi="Times New Roman"/>
          <w:sz w:val="18"/>
          <w:szCs w:val="18"/>
          <w:color w:val="auto"/>
        </w:rPr>
        <w:t>If at any time following the distribution of any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Testing-the-Waters Communication, there occurred or occurs an event or development as a result of which such Permitted Testing-the-Waters Communication included or would include an untrue statement of a material fact or omitted or would omit to state a material fact necessary in order to make the statements therein, in light of the circumstances existing at that subsequent time, not misleading, the Company will promptly notify the Representatives and will promptly amend or supplement, at its own expense, such Permitted Testing-the-Waters Communication to eliminate or correct such untrue statement or omission.</w:t>
      </w:r>
    </w:p>
    <w:p>
      <w:pPr>
        <w:spacing w:after="0" w:line="182" w:lineRule="exact"/>
        <w:rPr>
          <w:rFonts w:ascii="Times New Roman" w:cs="Times New Roman" w:eastAsia="Times New Roman" w:hAnsi="Times New Roman"/>
          <w:sz w:val="18"/>
          <w:szCs w:val="18"/>
          <w:b w:val="1"/>
          <w:bCs w:val="1"/>
          <w:color w:val="auto"/>
        </w:rPr>
      </w:pPr>
    </w:p>
    <w:p>
      <w:pPr>
        <w:ind w:right="240" w:firstLine="436"/>
        <w:spacing w:after="0" w:line="259" w:lineRule="auto"/>
        <w:tabs>
          <w:tab w:leader="none" w:pos="73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Announcement Regarding Lock-ups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announce the Underwriters’ intention to release any director or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Rule 16a-1(f) under the Exchange Act) of the Company from any of the restrictions imposed by any Lock-Up Agreement, by issuing, through a major news service, a press release in form and substance satisfactory to the Representatives or, if consented to by the Representatives, in a registration statement that is publicly filed in connection with a secondary offering of the Company’s shares promptly following the Company’s receipt of any notification from the Representatives in which such intention is indicated, but in any case</w:t>
      </w:r>
    </w:p>
    <w:p>
      <w:pPr>
        <w:sectPr>
          <w:pgSz w:w="11900" w:h="16838" w:orient="portrait"/>
          <w:cols w:equalWidth="0" w:num="1">
            <w:col w:w="11000"/>
          </w:cols>
          <w:pgMar w:left="440" w:top="270" w:right="459" w:bottom="1440" w:gutter="0" w:footer="0" w:header="0"/>
        </w:sectPr>
      </w:pPr>
    </w:p>
    <w:bookmarkStart w:id="29" w:name="page30"/>
    <w:bookmarkEnd w:id="2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later than the close of the third business day prior to the date on which such release or waiver is to become effective; provided, however, that nothing shall prevent the Representatives, on behalf of the Underwriters, from announcing the same through a major news service, irrespective of whether the Company has made the required announcement;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ind w:right="120" w:firstLine="436"/>
        <w:spacing w:after="0" w:line="265" w:lineRule="auto"/>
        <w:tabs>
          <w:tab w:leader="none" w:pos="69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Warrant Shares Reserved. </w:t>
      </w:r>
      <w:r>
        <w:rPr>
          <w:rFonts w:ascii="Times New Roman" w:cs="Times New Roman" w:eastAsia="Times New Roman" w:hAnsi="Times New Roman"/>
          <w:sz w:val="18"/>
          <w:szCs w:val="18"/>
          <w:color w:val="auto"/>
        </w:rPr>
        <w:t>The Company shall, at all times while any Pre-Funded Warrants are outstanding, reserve and keep available out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authorized but unissued and otherwise unreserved Shares, solely for the purpose of enabling it to issue Warrant Shares upon exercise of such Pre-Funded Warrants, the number of Warrant Shares that are initially issuable and deliverable upon exercise of the then outstanding Pre-Funded Warrants.</w:t>
      </w:r>
    </w:p>
    <w:p>
      <w:pPr>
        <w:spacing w:after="0" w:line="394"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 Payment of Expenses. </w:t>
      </w:r>
      <w:r>
        <w:rPr>
          <w:rFonts w:ascii="Times New Roman" w:cs="Times New Roman" w:eastAsia="Times New Roman" w:hAnsi="Times New Roman"/>
          <w:sz w:val="18"/>
          <w:szCs w:val="18"/>
          <w:color w:val="auto"/>
        </w:rPr>
        <w:t>The Company agrees to pay all costs, fees and expenses incurred in connection with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Shares and Warrant Shares,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Testing-the-Waters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and, if requested by the Representatives, preparing and printing a “Blue Sky Survey” or memorandum,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Securities, including any related filing fees and the legal fees of, and disbursements by, counsel to the Underwriters, provided that the fees and expenses of such counsel to the Underwriters under subsections (vi) and (vii) of this Section 4 shall not exceed $20,000, (viii) the costs and expenses of the Company relating to investor presentations on any “road show”, any Permitted Testing-the-Waters Communication or any Oral Testing-the-Waters Communication undertaken in connection with the offering of the Offered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50% of the cost of any aircraft chartered in connection with the road show, (ix) the fees and expenses associated with listing the Offered Shares and the Warrant Shares on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 their own travel and lodging expenses and 50% of the cost of any aircraft chartered in connection with the road show.</w:t>
      </w:r>
    </w:p>
    <w:p>
      <w:pPr>
        <w:sectPr>
          <w:pgSz w:w="11900" w:h="16838" w:orient="portrait"/>
          <w:cols w:equalWidth="0" w:num="1">
            <w:col w:w="11020"/>
          </w:cols>
          <w:pgMar w:left="440" w:top="270" w:right="439" w:bottom="1440" w:gutter="0" w:footer="0" w:header="0"/>
        </w:sectPr>
      </w:pPr>
    </w:p>
    <w:bookmarkStart w:id="30" w:name="page31"/>
    <w:bookmarkEnd w:id="30"/>
    <w:p>
      <w:pPr>
        <w:jc w:val="both"/>
        <w:ind w:right="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Covenant of the Underwriters. </w:t>
      </w:r>
      <w:r>
        <w:rPr>
          <w:rFonts w:ascii="Times New Roman" w:cs="Times New Roman" w:eastAsia="Times New Roman" w:hAnsi="Times New Roman"/>
          <w:sz w:val="17"/>
          <w:szCs w:val="17"/>
          <w:color w:val="auto"/>
        </w:rPr>
        <w:t>Each Underwriter severally and not jointly covenants with the Company not to take any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53"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Conditions of the Obligations of the Underwriters. </w:t>
      </w:r>
      <w:r>
        <w:rPr>
          <w:rFonts w:ascii="Times New Roman" w:cs="Times New Roman" w:eastAsia="Times New Roman" w:hAnsi="Times New Roman"/>
          <w:sz w:val="18"/>
          <w:szCs w:val="18"/>
          <w:color w:val="auto"/>
        </w:rPr>
        <w:t>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Securities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71" w:lineRule="exact"/>
        <w:rPr>
          <w:sz w:val="20"/>
          <w:szCs w:val="20"/>
          <w:color w:val="auto"/>
        </w:rPr>
      </w:pPr>
    </w:p>
    <w:p>
      <w:pPr>
        <w:ind w:firstLine="436"/>
        <w:spacing w:after="0" w:line="259" w:lineRule="auto"/>
        <w:tabs>
          <w:tab w:leader="none" w:pos="69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date hereof, the Representatives shall have received from Deloitte &amp; Touche LLP, independent registered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79" w:lineRule="exact"/>
        <w:rPr>
          <w:rFonts w:ascii="Times New Roman" w:cs="Times New Roman" w:eastAsia="Times New Roman" w:hAnsi="Times New Roman"/>
          <w:sz w:val="18"/>
          <w:szCs w:val="18"/>
          <w:b w:val="1"/>
          <w:bCs w:val="1"/>
          <w:color w:val="auto"/>
        </w:rPr>
      </w:pPr>
    </w:p>
    <w:p>
      <w:pPr>
        <w:jc w:val="both"/>
        <w:ind w:right="440" w:firstLine="436"/>
        <w:spacing w:after="0" w:line="268" w:lineRule="auto"/>
        <w:tabs>
          <w:tab w:leader="none" w:pos="70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Registration Requirements; No Stop Order; No Objection from FINRA. </w:t>
      </w:r>
      <w:r>
        <w:rPr>
          <w:rFonts w:ascii="Times New Roman" w:cs="Times New Roman" w:eastAsia="Times New Roman" w:hAnsi="Times New Roman"/>
          <w:sz w:val="18"/>
          <w:szCs w:val="18"/>
          <w:color w:val="auto"/>
        </w:rPr>
        <w:t>For the period from and after the date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through and including the First Closing Date and, with respect to any Optional Shares purchased after the First Closing Date, each Option Closing Date:</w:t>
      </w:r>
    </w:p>
    <w:p>
      <w:pPr>
        <w:spacing w:after="0" w:line="66"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0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79" w:lineRule="exact"/>
        <w:rPr>
          <w:rFonts w:ascii="Times New Roman" w:cs="Times New Roman" w:eastAsia="Times New Roman" w:hAnsi="Times New Roman"/>
          <w:sz w:val="18"/>
          <w:szCs w:val="18"/>
          <w:color w:val="auto"/>
        </w:rPr>
      </w:pPr>
    </w:p>
    <w:p>
      <w:pPr>
        <w:ind w:right="720" w:firstLine="987"/>
        <w:spacing w:after="0" w:line="282" w:lineRule="auto"/>
        <w:tabs>
          <w:tab w:leader="none" w:pos="12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 and</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221" w:lineRule="exact"/>
        <w:rPr>
          <w:rFonts w:ascii="Times New Roman" w:cs="Times New Roman" w:eastAsia="Times New Roman" w:hAnsi="Times New Roman"/>
          <w:sz w:val="18"/>
          <w:szCs w:val="18"/>
          <w:color w:val="auto"/>
        </w:rPr>
      </w:pPr>
    </w:p>
    <w:p>
      <w:pPr>
        <w:ind w:right="40" w:firstLine="436"/>
        <w:spacing w:after="0" w:line="286" w:lineRule="auto"/>
        <w:tabs>
          <w:tab w:leader="none" w:pos="68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 or Ratings Agency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period from and after the date of this Agreement and through and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Closing Date and, with respect to any Optional Shares purchased after the First Closing Date, each Option Closing Date:</w:t>
      </w:r>
    </w:p>
    <w:p>
      <w:pPr>
        <w:spacing w:after="0" w:line="5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Change; and</w:t>
      </w:r>
    </w:p>
    <w:p>
      <w:pPr>
        <w:spacing w:after="0" w:line="225" w:lineRule="exact"/>
        <w:rPr>
          <w:rFonts w:ascii="Times New Roman" w:cs="Times New Roman" w:eastAsia="Times New Roman" w:hAnsi="Times New Roman"/>
          <w:sz w:val="18"/>
          <w:szCs w:val="18"/>
          <w:color w:val="auto"/>
        </w:rPr>
      </w:pPr>
    </w:p>
    <w:p>
      <w:pPr>
        <w:ind w:right="80" w:firstLine="987"/>
        <w:spacing w:after="0" w:line="289" w:lineRule="auto"/>
        <w:tabs>
          <w:tab w:leader="none" w:pos="125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ectPr>
          <w:pgSz w:w="11900" w:h="16838" w:orient="portrait"/>
          <w:cols w:equalWidth="0" w:num="1">
            <w:col w:w="11000"/>
          </w:cols>
          <w:pgMar w:left="440" w:top="266" w:right="459" w:bottom="1440" w:gutter="0" w:footer="0" w:header="0"/>
        </w:sectPr>
      </w:pPr>
    </w:p>
    <w:bookmarkStart w:id="31" w:name="page32"/>
    <w:bookmarkEnd w:id="31"/>
    <w:p>
      <w:pPr>
        <w:ind w:left="-436" w:right="140" w:firstLine="436"/>
        <w:spacing w:after="0" w:line="268" w:lineRule="auto"/>
        <w:tabs>
          <w:tab w:leader="none" w:pos="2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Wilson Sonsini Goodrich &amp; Rosati, P.C., counsel for the Company, dated as of such date, in form and substance reasonably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left="-436" w:firstLine="436"/>
        <w:spacing w:after="0" w:line="268" w:lineRule="auto"/>
        <w:tabs>
          <w:tab w:leader="none" w:pos="24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Opinion of Intellectual Property Counsel.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of Morrison Foerster LLP, counsel for the Company with respect to intellectual property matters, dated as of such date, in form and substance reasonably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left="-436" w:right="280" w:firstLine="436"/>
        <w:spacing w:after="0" w:line="268" w:lineRule="auto"/>
        <w:tabs>
          <w:tab w:leader="none" w:pos="22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Cooley LLP, counsel for the Underwriters in connection with the offer and sale of the Offered Securities, in form and substance satisfactory to the Representatives.</w:t>
      </w:r>
    </w:p>
    <w:p>
      <w:pPr>
        <w:spacing w:after="0" w:line="170" w:lineRule="exact"/>
        <w:rPr>
          <w:rFonts w:ascii="Times New Roman" w:cs="Times New Roman" w:eastAsia="Times New Roman" w:hAnsi="Times New Roman"/>
          <w:sz w:val="18"/>
          <w:szCs w:val="18"/>
          <w:b w:val="1"/>
          <w:bCs w:val="1"/>
          <w:color w:val="auto"/>
        </w:rPr>
      </w:pPr>
    </w:p>
    <w:p>
      <w:pPr>
        <w:ind w:left="-436" w:right="260" w:firstLine="436"/>
        <w:spacing w:after="0" w:line="268" w:lineRule="auto"/>
        <w:tabs>
          <w:tab w:leader="none" w:pos="25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66" w:lineRule="exact"/>
        <w:rPr>
          <w:rFonts w:ascii="Times New Roman" w:cs="Times New Roman" w:eastAsia="Times New Roman" w:hAnsi="Times New Roman"/>
          <w:sz w:val="18"/>
          <w:szCs w:val="18"/>
          <w:b w:val="1"/>
          <w:bCs w:val="1"/>
          <w:color w:val="auto"/>
        </w:rPr>
      </w:pPr>
    </w:p>
    <w:p>
      <w:pPr>
        <w:ind w:left="-436" w:right="400" w:firstLine="987"/>
        <w:spacing w:after="0" w:line="282" w:lineRule="auto"/>
        <w:tabs>
          <w:tab w:leader="none" w:pos="7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 Change;</w:t>
      </w:r>
    </w:p>
    <w:p>
      <w:pPr>
        <w:spacing w:after="0" w:line="161" w:lineRule="exact"/>
        <w:rPr>
          <w:rFonts w:ascii="Times New Roman" w:cs="Times New Roman" w:eastAsia="Times New Roman" w:hAnsi="Times New Roman"/>
          <w:sz w:val="18"/>
          <w:szCs w:val="18"/>
          <w:color w:val="auto"/>
        </w:rPr>
      </w:pPr>
    </w:p>
    <w:p>
      <w:pPr>
        <w:ind w:left="-436" w:right="280" w:firstLine="987"/>
        <w:spacing w:after="0" w:line="282" w:lineRule="auto"/>
        <w:tabs>
          <w:tab w:leader="none" w:pos="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61" w:lineRule="exact"/>
        <w:rPr>
          <w:rFonts w:ascii="Times New Roman" w:cs="Times New Roman" w:eastAsia="Times New Roman" w:hAnsi="Times New Roman"/>
          <w:sz w:val="18"/>
          <w:szCs w:val="18"/>
          <w:color w:val="auto"/>
        </w:rPr>
      </w:pPr>
    </w:p>
    <w:p>
      <w:pPr>
        <w:ind w:left="-436" w:right="180" w:firstLine="987"/>
        <w:spacing w:after="0" w:line="282" w:lineRule="auto"/>
        <w:tabs>
          <w:tab w:leader="none" w:pos="8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157" w:lineRule="exact"/>
        <w:rPr>
          <w:rFonts w:ascii="Times New Roman" w:cs="Times New Roman" w:eastAsia="Times New Roman" w:hAnsi="Times New Roman"/>
          <w:sz w:val="18"/>
          <w:szCs w:val="18"/>
          <w:color w:val="auto"/>
        </w:rPr>
      </w:pPr>
    </w:p>
    <w:p>
      <w:pPr>
        <w:ind w:left="-436" w:right="180" w:firstLine="436"/>
        <w:spacing w:after="0" w:line="259" w:lineRule="auto"/>
        <w:tabs>
          <w:tab w:leader="none" w:pos="2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each of the First Closing Date and each Option Closing Date, the Representatives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Deloitte &amp; Touche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9" w:lineRule="exact"/>
        <w:rPr>
          <w:rFonts w:ascii="Times New Roman" w:cs="Times New Roman" w:eastAsia="Times New Roman" w:hAnsi="Times New Roman"/>
          <w:sz w:val="18"/>
          <w:szCs w:val="18"/>
          <w:b w:val="1"/>
          <w:bCs w:val="1"/>
          <w:color w:val="auto"/>
        </w:rPr>
      </w:pPr>
    </w:p>
    <w:p>
      <w:pPr>
        <w:ind w:left="-436" w:right="120" w:firstLine="436"/>
        <w:spacing w:after="0" w:line="268" w:lineRule="auto"/>
        <w:tabs>
          <w:tab w:leader="none" w:pos="2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Lock-Up Agreements. </w:t>
      </w:r>
      <w:r>
        <w:rPr>
          <w:rFonts w:ascii="Times New Roman" w:cs="Times New Roman" w:eastAsia="Times New Roman" w:hAnsi="Times New Roman"/>
          <w:sz w:val="18"/>
          <w:szCs w:val="18"/>
          <w:color w:val="auto"/>
        </w:rPr>
        <w:t>On or prior to the date hereof, the Company shall have furnished to the Representatives the Lock-up Agreements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each such agreement shall be in full force and effect on each of the First Closing Date and each Option Closing Date.</w:t>
      </w:r>
    </w:p>
    <w:p>
      <w:pPr>
        <w:spacing w:after="0" w:line="170" w:lineRule="exact"/>
        <w:rPr>
          <w:rFonts w:ascii="Times New Roman" w:cs="Times New Roman" w:eastAsia="Times New Roman" w:hAnsi="Times New Roman"/>
          <w:sz w:val="18"/>
          <w:szCs w:val="18"/>
          <w:b w:val="1"/>
          <w:bCs w:val="1"/>
          <w:color w:val="auto"/>
        </w:rPr>
      </w:pPr>
    </w:p>
    <w:p>
      <w:pPr>
        <w:ind w:left="-436" w:firstLine="436"/>
        <w:spacing w:after="0" w:line="268" w:lineRule="auto"/>
        <w:tabs>
          <w:tab w:leader="none" w:pos="22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ectPr>
          <w:pgSz w:w="11900" w:h="16838" w:orient="portrait"/>
          <w:cols w:equalWidth="0" w:num="1">
            <w:col w:w="10524"/>
          </w:cols>
          <w:pgMar w:left="876" w:top="266" w:right="499" w:bottom="1440" w:gutter="0" w:footer="0" w:header="0"/>
        </w:sectPr>
      </w:pPr>
    </w:p>
    <w:bookmarkStart w:id="32" w:name="page33"/>
    <w:bookmarkEnd w:id="32"/>
    <w:p>
      <w:pPr>
        <w:ind w:right="220" w:firstLine="436"/>
        <w:spacing w:after="0" w:line="257" w:lineRule="auto"/>
        <w:tabs>
          <w:tab w:leader="none" w:pos="70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spacing w:after="0" w:line="18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7. Reimbursement of Underwriters’ Expenses</w:t>
      </w:r>
      <w:r>
        <w:rPr>
          <w:rFonts w:ascii="Times New Roman" w:cs="Times New Roman" w:eastAsia="Times New Roman" w:hAnsi="Times New Roman"/>
          <w:sz w:val="18"/>
          <w:szCs w:val="18"/>
          <w:color w:val="auto"/>
        </w:rPr>
        <w:t>. 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Section 12,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Offered Securities.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8.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9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agrees to indemnify and hold harmless each Underwriter, its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Written Testing-the-Waters Communication or the</w:t>
      </w:r>
    </w:p>
    <w:p>
      <w:pPr>
        <w:sectPr>
          <w:pgSz w:w="11900" w:h="16838" w:orient="portrait"/>
          <w:cols w:equalWidth="0" w:num="1">
            <w:col w:w="11000"/>
          </w:cols>
          <w:pgMar w:left="440" w:top="266" w:right="459" w:bottom="1440" w:gutter="0" w:footer="0" w:header="0"/>
        </w:sectPr>
      </w:pPr>
    </w:p>
    <w:bookmarkStart w:id="33" w:name="page34"/>
    <w:bookmarkEnd w:id="3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Prospectus (or any amendment or supplement to the foregoing), or the omission or alleged omission to state therein a material fact necessary in order to make the statements, in light of the circumstances under which they were made, not misleading; or (iii) any act or failure to act or any alleged act or failure to act by any Underwriter in connection with, or relating in any manner to, the Offered Securities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reasonably incurred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Written Testing-the-Waters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193" w:lineRule="exact"/>
        <w:rPr>
          <w:sz w:val="20"/>
          <w:szCs w:val="20"/>
          <w:color w:val="auto"/>
        </w:rPr>
      </w:pPr>
    </w:p>
    <w:p>
      <w:pPr>
        <w:ind w:firstLine="436"/>
        <w:spacing w:after="0" w:line="252" w:lineRule="auto"/>
        <w:tabs>
          <w:tab w:leader="none" w:pos="7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and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Written Testing-the-Waters Communication or the Prospectus (or any such amendment or supplement) or the omission or alleged omission to state therein a material fact necessary in order to make the statements, in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Written Testing-the-Waters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reasonably incurred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Written</w:t>
      </w:r>
    </w:p>
    <w:p>
      <w:pPr>
        <w:sectPr>
          <w:pgSz w:w="11900" w:h="16838" w:orient="portrait"/>
          <w:cols w:equalWidth="0" w:num="1">
            <w:col w:w="10980"/>
          </w:cols>
          <w:pgMar w:left="440" w:top="270" w:right="479" w:bottom="1440" w:gutter="0" w:footer="0" w:header="0"/>
        </w:sectPr>
      </w:pPr>
    </w:p>
    <w:bookmarkStart w:id="34" w:name="page35"/>
    <w:bookmarkEnd w:id="3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Testing-the-Waters Communication or the Prospectus (or any amendment or supplement to the foregoing) are the statements set forth in the first two sentences of the first paragraph under the section entitled “Commission and Expenses” and the first through fourth paragraphs under the section entitled “Stabilization”, in each case, under the caption “Underwriting” in the Preliminary Prospectus Supplement and the Final Prospectus Supplement. The indemnity agreement set forth in this Section 9(b) shall be in addition to any liabilities that each Underwriter may otherwise have.</w:t>
      </w:r>
    </w:p>
    <w:p>
      <w:pPr>
        <w:spacing w:after="0" w:line="176" w:lineRule="exact"/>
        <w:rPr>
          <w:sz w:val="20"/>
          <w:szCs w:val="20"/>
          <w:color w:val="auto"/>
        </w:rPr>
      </w:pPr>
    </w:p>
    <w:p>
      <w:pPr>
        <w:ind w:right="20" w:firstLine="436"/>
        <w:spacing w:after="0" w:line="252" w:lineRule="auto"/>
        <w:tabs>
          <w:tab w:leader="none" w:pos="68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Promptly after receipt by an indemnified party under this Section 9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83"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Settlements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indemnifying party under this Section 9 shall not be liable for any settlement of any proceeding effected without its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w:t>
      </w:r>
    </w:p>
    <w:p>
      <w:pPr>
        <w:sectPr>
          <w:pgSz w:w="11900" w:h="16838" w:orient="portrait"/>
          <w:cols w:equalWidth="0" w:num="1">
            <w:col w:w="11020"/>
          </w:cols>
          <w:pgMar w:left="440" w:top="270" w:right="439" w:bottom="1440" w:gutter="0" w:footer="0" w:header="0"/>
        </w:sectPr>
      </w:pPr>
    </w:p>
    <w:bookmarkStart w:id="35" w:name="page36"/>
    <w:bookmarkEnd w:id="3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10. Contribution</w:t>
      </w:r>
      <w:r>
        <w:rPr>
          <w:rFonts w:ascii="Times New Roman" w:cs="Times New Roman" w:eastAsia="Times New Roman" w:hAnsi="Times New Roman"/>
          <w:sz w:val="18"/>
          <w:szCs w:val="18"/>
          <w:color w:val="auto"/>
        </w:rPr>
        <w:t>. If the indemnification provided for in Section 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Securities pursuant to this Agreement shall be deemed to be in the same respective proportions as the total proceeds from the offering of the Offered Securities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this Section 10,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w:t>
      </w:r>
    </w:p>
    <w:p>
      <w:pPr>
        <w:sectPr>
          <w:pgSz w:w="11900" w:h="16838" w:orient="portrait"/>
          <w:cols w:equalWidth="0" w:num="1">
            <w:col w:w="11020"/>
          </w:cols>
          <w:pgMar w:left="440" w:top="270" w:right="439" w:bottom="1440" w:gutter="0" w:footer="0" w:header="0"/>
        </w:sectPr>
      </w:pPr>
    </w:p>
    <w:bookmarkStart w:id="36" w:name="page37"/>
    <w:bookmarkEnd w:id="3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Section 11. Default of One or More of the Several Underwriters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Shares and Pre-Funded Warrants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and Pre-Funded Warrants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93"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Section 12. Termination of this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purchase of the Firm Shares and the Pre-Funded Warrants by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(ii) a general banking moratorium shall have been declared by any of federal or New York authorities or a material disruption in commercial banking or securities settlement or clearance services in the United States; (iii) there shall have occurred any outbreak or escalation of national or international hostilities or the declaration of the United States of a national emergency or war, or any crisis or calamity, or any change in the United States or international financial markets, or any substantial change</w:t>
      </w:r>
    </w:p>
    <w:p>
      <w:pPr>
        <w:sectPr>
          <w:pgSz w:w="11900" w:h="16838" w:orient="portrait"/>
          <w:cols w:equalWidth="0" w:num="1">
            <w:col w:w="11000"/>
          </w:cols>
          <w:pgMar w:left="440" w:top="270" w:right="459" w:bottom="1440" w:gutter="0" w:footer="0" w:header="0"/>
        </w:sectPr>
      </w:pPr>
    </w:p>
    <w:bookmarkStart w:id="37" w:name="page38"/>
    <w:bookmarkEnd w:id="37"/>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the Time of Sale Prospectus or the Prospectus or to enforce contracts for the sale of securities; (iv) in the reasonable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provisions of Section 9 and Section 10 shall at all times be effective and shall survive such termination.</w:t>
      </w:r>
    </w:p>
    <w:p>
      <w:pPr>
        <w:spacing w:after="0" w:line="184"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13. No Advisory or Fiduciary Relationship. </w:t>
      </w:r>
      <w:r>
        <w:rPr>
          <w:rFonts w:ascii="Times New Roman" w:cs="Times New Roman" w:eastAsia="Times New Roman" w:hAnsi="Times New Roman"/>
          <w:sz w:val="17"/>
          <w:szCs w:val="17"/>
          <w:color w:val="auto"/>
        </w:rPr>
        <w:t>The Company acknowledges and agrees that (a) the purchase and sale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the Company’s other stockholders, creditors, employees or any other party,</w:t>
      </w:r>
    </w:p>
    <w:p>
      <w:pPr>
        <w:spacing w:after="0" w:line="3" w:lineRule="exact"/>
        <w:rPr>
          <w:sz w:val="20"/>
          <w:szCs w:val="20"/>
          <w:color w:val="auto"/>
        </w:rPr>
      </w:pPr>
    </w:p>
    <w:p>
      <w:pPr>
        <w:ind w:left="4" w:hanging="4"/>
        <w:spacing w:after="0" w:line="252"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6" w:lineRule="exact"/>
        <w:rPr>
          <w:sz w:val="20"/>
          <w:szCs w:val="20"/>
          <w:color w:val="auto"/>
        </w:rPr>
      </w:pPr>
    </w:p>
    <w:p>
      <w:pPr>
        <w:ind w:left="4" w:right="1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14. Representations and Indemnities to Survive Delivery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Securities sold hereunder and any termination of this Agreement.</w:t>
      </w:r>
    </w:p>
    <w:p>
      <w:pPr>
        <w:spacing w:after="0" w:line="179"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Section 15.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as follows:</w:t>
      </w:r>
    </w:p>
    <w:p>
      <w:pPr>
        <w:sectPr>
          <w:pgSz w:w="11900" w:h="16838" w:orient="portrait"/>
          <w:cols w:equalWidth="0" w:num="1">
            <w:col w:w="11004"/>
          </w:cols>
          <w:pgMar w:left="436" w:top="270" w:right="459" w:bottom="1440" w:gutter="0" w:footer="0" w:header="0"/>
        </w:sectPr>
      </w:pPr>
    </w:p>
    <w:p>
      <w:pPr>
        <w:spacing w:after="0" w:line="6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7"/>
          <w:szCs w:val="17"/>
          <w:color w:val="auto"/>
        </w:rPr>
        <w:t>If to the Representatives: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ectPr>
          <w:pgSz w:w="11900" w:h="16838" w:orient="portrait"/>
          <w:cols w:equalWidth="0" w:num="2">
            <w:col w:w="2484" w:space="720"/>
            <w:col w:w="7800"/>
          </w:cols>
          <w:pgMar w:left="436" w:top="270" w:right="459" w:bottom="1440" w:gutter="0" w:footer="0" w:header="0"/>
          <w:type w:val="continuous"/>
        </w:sectPr>
      </w:pPr>
    </w:p>
    <w:bookmarkStart w:id="38" w:name="page39"/>
    <w:bookmarkEnd w:id="38"/>
    <w:p>
      <w:pPr>
        <w:ind w:left="3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&amp; Co. LLC</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Attention: Registration Department</w:t>
      </w:r>
    </w:p>
    <w:p>
      <w:pPr>
        <w:spacing w:after="0" w:line="1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Attention: Equity Syndicate Desk, with a copy to the legal</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department</w:t>
      </w:r>
    </w:p>
    <w:p>
      <w:pPr>
        <w:spacing w:after="0" w:line="11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New York, New York 10019</w:t>
      </w:r>
    </w:p>
    <w:p>
      <w:pPr>
        <w:sectPr>
          <w:pgSz w:w="11900" w:h="16838" w:orient="portrait"/>
          <w:cols w:equalWidth="0" w:num="1">
            <w:col w:w="10880"/>
          </w:cols>
          <w:pgMar w:left="440" w:top="270" w:right="579" w:bottom="1440" w:gutter="0" w:footer="0" w:header="0"/>
        </w:sectPr>
      </w:pP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Rich Segal</w:t>
      </w:r>
    </w:p>
    <w:p>
      <w:pPr>
        <w:spacing w:after="0" w:line="112" w:lineRule="exact"/>
        <w:rPr>
          <w:sz w:val="20"/>
          <w:szCs w:val="20"/>
          <w:color w:val="auto"/>
        </w:rPr>
      </w:pPr>
    </w:p>
    <w:p>
      <w:pPr>
        <w:sectPr>
          <w:pgSz w:w="11900" w:h="16838" w:orient="portrait"/>
          <w:cols w:equalWidth="0" w:num="2">
            <w:col w:w="2480" w:space="720"/>
            <w:col w:w="7680"/>
          </w:cols>
          <w:pgMar w:left="440" w:top="270" w:right="5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Enliven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 Park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Benjamin Hohl, Chief Financial Officer; and Galya Blachman, Chief Legal Officer</w:t>
      </w:r>
    </w:p>
    <w:p>
      <w:pPr>
        <w:spacing w:after="0" w:line="124" w:lineRule="exact"/>
        <w:rPr>
          <w:sz w:val="20"/>
          <w:szCs w:val="20"/>
          <w:color w:val="auto"/>
        </w:rPr>
      </w:pPr>
    </w:p>
    <w:p>
      <w:pPr>
        <w:sectPr>
          <w:pgSz w:w="11900" w:h="16838" w:orient="portrait"/>
          <w:cols w:equalWidth="0" w:num="2">
            <w:col w:w="2480" w:space="720"/>
            <w:col w:w="7680"/>
          </w:cols>
          <w:pgMar w:left="440" w:top="270" w:right="57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Wilson Sonsini Goodrich &amp; Rosati, Professional Corporation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Tony Jeffries</w:t>
      </w:r>
    </w:p>
    <w:p>
      <w:pPr>
        <w:spacing w:after="0" w:line="200" w:lineRule="exact"/>
        <w:rPr>
          <w:sz w:val="20"/>
          <w:szCs w:val="20"/>
          <w:color w:val="auto"/>
        </w:rPr>
      </w:pPr>
    </w:p>
    <w:p>
      <w:pPr>
        <w:sectPr>
          <w:pgSz w:w="11900" w:h="16838" w:orient="portrait"/>
          <w:cols w:equalWidth="0" w:num="2">
            <w:col w:w="2480" w:space="720"/>
            <w:col w:w="7680"/>
          </w:cols>
          <w:pgMar w:left="440" w:top="270" w:right="5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Section 16. Successors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w:t>
      </w: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shall not include any purchaser of the Offered Securities as such from any of the Underwriters merely by reason of such purchase.</w:t>
      </w:r>
    </w:p>
    <w:p>
      <w:pPr>
        <w:spacing w:after="0" w:line="179" w:lineRule="exact"/>
        <w:rPr>
          <w:sz w:val="20"/>
          <w:szCs w:val="20"/>
          <w:color w:val="auto"/>
        </w:rPr>
      </w:pPr>
    </w:p>
    <w:p>
      <w:pPr>
        <w:jc w:val="both"/>
        <w:ind w:right="1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Section 17. Partial Unenforceability</w:t>
      </w:r>
      <w:r>
        <w:rPr>
          <w:rFonts w:ascii="Times New Roman" w:cs="Times New Roman" w:eastAsia="Times New Roman" w:hAnsi="Times New Roman"/>
          <w:sz w:val="18"/>
          <w:szCs w:val="18"/>
          <w:color w:val="auto"/>
        </w:rPr>
        <w:t>. The invalidity or unenforceability of any section, paragraph or provision of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ectPr>
          <w:pgSz w:w="11900" w:h="16838" w:orient="portrait"/>
          <w:cols w:equalWidth="0" w:num="1">
            <w:col w:w="10880"/>
          </w:cols>
          <w:pgMar w:left="440" w:top="270" w:right="579" w:bottom="1440" w:gutter="0" w:footer="0" w:header="0"/>
          <w:type w:val="continuous"/>
        </w:sectPr>
      </w:pPr>
    </w:p>
    <w:bookmarkStart w:id="39" w:name="page40"/>
    <w:bookmarkEnd w:id="39"/>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18. Recognition of the U.S. Special Resolution Regimes.</w:t>
      </w:r>
    </w:p>
    <w:p>
      <w:pPr>
        <w:spacing w:after="0" w:line="229" w:lineRule="exact"/>
        <w:rPr>
          <w:sz w:val="20"/>
          <w:szCs w:val="20"/>
          <w:color w:val="auto"/>
        </w:rPr>
      </w:pPr>
    </w:p>
    <w:p>
      <w:pPr>
        <w:ind w:right="60" w:firstLine="436"/>
        <w:spacing w:after="0" w:line="261" w:lineRule="auto"/>
        <w:tabs>
          <w:tab w:leader="none" w:pos="69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61" w:lineRule="auto"/>
        <w:tabs>
          <w:tab w:leader="none" w:pos="70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3"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b w:val="1"/>
          <w:bCs w:val="1"/>
          <w:color w:val="auto"/>
        </w:rPr>
        <w:t>Section 19. Governing Law Provisions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in accordance with the internal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7"/>
          <w:szCs w:val="17"/>
          <w:b w:val="1"/>
          <w:bCs w:val="1"/>
          <w:color w:val="auto"/>
        </w:rPr>
        <w:t>Related Proceedings</w:t>
      </w:r>
      <w:r>
        <w:rPr>
          <w:rFonts w:ascii="Times New Roman" w:cs="Times New Roman" w:eastAsia="Times New Roman" w:hAnsi="Times New Roman"/>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7"/>
          <w:szCs w:val="17"/>
          <w:b w:val="1"/>
          <w:bCs w:val="1"/>
          <w:color w:val="auto"/>
        </w:rPr>
        <w:t>Related Judgment</w:t>
      </w:r>
      <w:r>
        <w:rPr>
          <w:rFonts w:ascii="Times New Roman" w:cs="Times New Roman" w:eastAsia="Times New Roman" w:hAnsi="Times New Roman"/>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9"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 General Provisions. </w:t>
      </w:r>
      <w:r>
        <w:rPr>
          <w:rFonts w:ascii="Times New Roman" w:cs="Times New Roman" w:eastAsia="Times New Roman" w:hAnsi="Times New Roman"/>
          <w:sz w:val="18"/>
          <w:szCs w:val="18"/>
          <w:color w:val="auto"/>
        </w:rPr>
        <w:t>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ectPr>
          <w:pgSz w:w="11900" w:h="16838" w:orient="portrait"/>
          <w:cols w:equalWidth="0" w:num="1">
            <w:col w:w="11000"/>
          </w:cols>
          <w:pgMar w:left="440" w:top="266" w:right="459" w:bottom="1440" w:gutter="0" w:footer="0" w:header="0"/>
        </w:sectPr>
      </w:pPr>
    </w:p>
    <w:bookmarkStart w:id="40" w:name="page41"/>
    <w:bookmarkEnd w:id="40"/>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ectPr>
          <w:pgSz w:w="11900" w:h="16838" w:orient="portrait"/>
          <w:cols w:equalWidth="0" w:num="1">
            <w:col w:w="10940"/>
          </w:cols>
          <w:pgMar w:left="440" w:top="270" w:right="519" w:bottom="1440" w:gutter="0" w:footer="0" w:header="0"/>
        </w:sectPr>
      </w:pPr>
    </w:p>
    <w:bookmarkStart w:id="41" w:name="page42"/>
    <w:bookmarkEnd w:id="41"/>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ENLIVEN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Benjamin Hohl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Benjamin Hohl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and Head of Corporate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Development</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Michael Brinkman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Healthcare ECM</w:t>
      </w:r>
    </w:p>
    <w:p>
      <w:pPr>
        <w:sectPr>
          <w:pgSz w:w="11900" w:h="16838" w:orient="portrait"/>
          <w:cols w:equalWidth="0" w:num="1">
            <w:col w:w="10800"/>
          </w:cols>
          <w:pgMar w:left="440" w:top="270"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&amp; CO. LLC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Chirag D. Surti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Chirag D. Surti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Dan Cocks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019"/>
          </w:cols>
          <w:pgMar w:left="440" w:top="266"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0" w:type="dxa"/>
            <w:vAlign w:val="bottom"/>
          </w:tcPr>
          <w:p>
            <w:pPr>
              <w:spacing w:after="0"/>
              <w:rPr>
                <w:sz w:val="1"/>
                <w:szCs w:val="1"/>
                <w:color w:val="auto"/>
              </w:rPr>
            </w:pPr>
          </w:p>
        </w:tc>
      </w:tr>
      <w:tr>
        <w:trPr>
          <w:trHeight w:val="367"/>
        </w:trPr>
        <w:tc>
          <w:tcPr>
            <w:tcW w:w="852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80" w:type="dxa"/>
            <w:vAlign w:val="bottom"/>
          </w:tcPr>
          <w:p>
            <w:pPr>
              <w:jc w:val="center"/>
              <w:ind w:left="95"/>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c>
          <w:tcPr>
            <w:tcW w:w="1280" w:type="dxa"/>
            <w:vAlign w:val="bottom"/>
          </w:tcPr>
          <w:p>
            <w:pPr>
              <w:jc w:val="center"/>
              <w:ind w:left="75"/>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7"/>
        </w:trPr>
        <w:tc>
          <w:tcPr>
            <w:tcW w:w="8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be Purchased</w:t>
            </w:r>
          </w:p>
        </w:tc>
        <w:tc>
          <w:tcPr>
            <w:tcW w:w="128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2,546,000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2,546,000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1,340,000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893,333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625,333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121,333</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625,333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268,001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JonesTrading Institutional Services LLC</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89,334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8,933,334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1,733,333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20"/>
          </w:cols>
          <w:pgMar w:left="440" w:top="266"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Permitted Testing-the-Waters Communications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020"/>
          </w:cols>
          <w:pgMar w:left="440" w:top="266"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tc>
      </w:tr>
      <w:tr>
        <w:trPr>
          <w:trHeight w:val="4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Jefferies LLC</w:t>
            </w:r>
          </w:p>
        </w:tc>
      </w:tr>
      <w:tr>
        <w:trPr>
          <w:trHeight w:val="216"/>
        </w:trPr>
        <w:tc>
          <w:tcPr>
            <w:tcW w:w="3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520 Madison Avenue</w:t>
            </w:r>
          </w:p>
        </w:tc>
      </w:tr>
      <w:tr>
        <w:trPr>
          <w:trHeight w:val="234"/>
        </w:trPr>
        <w:tc>
          <w:tcPr>
            <w:tcW w:w="320" w:type="dxa"/>
            <w:vAlign w:val="bottom"/>
          </w:tcPr>
          <w:p>
            <w:pPr>
              <w:spacing w:after="0"/>
              <w:rPr>
                <w:sz w:val="20"/>
                <w:szCs w:val="20"/>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4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 West Street</w:t>
            </w:r>
          </w:p>
        </w:tc>
      </w:tr>
      <w:tr>
        <w:trPr>
          <w:trHeight w:val="234"/>
        </w:trPr>
        <w:tc>
          <w:tcPr>
            <w:tcW w:w="320" w:type="dxa"/>
            <w:vAlign w:val="bottom"/>
          </w:tcPr>
          <w:p>
            <w:pPr>
              <w:spacing w:after="0"/>
              <w:rPr>
                <w:sz w:val="20"/>
                <w:szCs w:val="20"/>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York, NY 10282</w:t>
            </w:r>
          </w:p>
        </w:tc>
      </w:tr>
      <w:tr>
        <w:trPr>
          <w:trHeight w:val="4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1585 Broadway</w:t>
            </w:r>
          </w:p>
        </w:tc>
      </w:tr>
      <w:tr>
        <w:trPr>
          <w:trHeight w:val="234"/>
        </w:trPr>
        <w:tc>
          <w:tcPr>
            <w:tcW w:w="320" w:type="dxa"/>
            <w:vAlign w:val="bottom"/>
          </w:tcPr>
          <w:p>
            <w:pPr>
              <w:spacing w:after="0"/>
              <w:rPr>
                <w:sz w:val="20"/>
                <w:szCs w:val="20"/>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York, New York 10036</w:t>
            </w:r>
          </w:p>
        </w:tc>
      </w:tr>
      <w:tr>
        <w:trPr>
          <w:trHeight w:val="4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20" w:type="dxa"/>
            <w:vAlign w:val="bottom"/>
          </w:tcPr>
          <w:p>
            <w:pPr>
              <w:spacing w:after="0"/>
              <w:rPr>
                <w:sz w:val="18"/>
                <w:szCs w:val="18"/>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745 Seventh Avenue</w:t>
            </w:r>
          </w:p>
        </w:tc>
      </w:tr>
      <w:tr>
        <w:trPr>
          <w:trHeight w:val="234"/>
        </w:trPr>
        <w:tc>
          <w:tcPr>
            <w:tcW w:w="320" w:type="dxa"/>
            <w:vAlign w:val="bottom"/>
          </w:tcPr>
          <w:p>
            <w:pPr>
              <w:spacing w:after="0"/>
              <w:rPr>
                <w:sz w:val="20"/>
                <w:szCs w:val="20"/>
                <w:color w:val="auto"/>
              </w:rPr>
            </w:pPr>
          </w:p>
        </w:tc>
        <w:tc>
          <w:tcPr>
            <w:tcW w:w="6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418"/>
        </w:trPr>
        <w:tc>
          <w:tcPr>
            <w:tcW w:w="320" w:type="dxa"/>
            <w:vAlign w:val="bottom"/>
          </w:tcPr>
          <w:p>
            <w:pPr>
              <w:spacing w:after="0"/>
              <w:rPr>
                <w:sz w:val="24"/>
                <w:szCs w:val="2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   Enliven Therapeutics, Inc. – Lock-Up Agreement (this “Lock-Up Agreement”)</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propose to enter into an underwriting agreement (the “Underwriting Agreement”) on behalf of the several Underwriters (collectively, the “Underwriters”), with Enliven Therapeutics, Inc., a Delaware corporation (the “Company”), providing for a public offering (the “Public Offering”) of shares (the “Shares”) of common stock, par value $0.001 per share, of the Company (the “Common Stock”) and/or pre-funded warrants to purchase Common Stock, pursuant to a Registration Statement on Form S-3 (File No. 333-289582) (the “Registration Statement”) filed with the Securities and Exchange Commission (the “SEC”).</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60 days after the date set forth on the final prospectus supplement (the “Prospectus Supplement”) used to sell the Shares (the “Lock-Up Period”), subject to the exceptions set forth in this Lock-Up Agreement, the undersigned shall not, and shall not cause or direct any of its affiliates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47" w:name="page48"/>
    <w:bookmarkEnd w:id="4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collectively, “Derivative Instruments”), including without limitation any such shares or Derivative Instruments now owned or hereafter acquired by the undersigned (collectively, the “Undersigned’s Securities”),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In addition, the undersigned agrees that, without the prior written consent of Jefferies LLC and Goldman Sachs &amp; Co. LLC on behalf of the Underwriters, it will not, during the Lock-Up Period, make any demand for or exercise any right with respect to, the registration of any Shares or any security convertible into or exercisable or exchangeable for Shares.</w:t>
      </w:r>
    </w:p>
    <w:p>
      <w:pPr>
        <w:spacing w:after="0" w:line="19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 without the consent of Jefferies LLC and Goldman Sachs &amp; Co. LLC:</w:t>
      </w:r>
    </w:p>
    <w:p>
      <w:pPr>
        <w:spacing w:after="0" w:line="117" w:lineRule="exact"/>
        <w:rPr>
          <w:sz w:val="20"/>
          <w:szCs w:val="20"/>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Securities:</w:t>
      </w:r>
    </w:p>
    <w:p>
      <w:pPr>
        <w:spacing w:after="0" w:line="115" w:lineRule="exact"/>
        <w:rPr>
          <w:rFonts w:ascii="Times New Roman" w:cs="Times New Roman" w:eastAsia="Times New Roman" w:hAnsi="Times New Roman"/>
          <w:sz w:val="18"/>
          <w:szCs w:val="18"/>
          <w:color w:val="auto"/>
        </w:rPr>
      </w:pPr>
    </w:p>
    <w:p>
      <w:pPr>
        <w:ind w:left="1420" w:right="320" w:firstLine="8"/>
        <w:spacing w:after="0" w:line="284" w:lineRule="auto"/>
        <w:tabs>
          <w:tab w:leader="none" w:pos="163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without limitation to a charitable organization or educational institution,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52" w:lineRule="exact"/>
        <w:rPr>
          <w:rFonts w:ascii="Times New Roman" w:cs="Times New Roman" w:eastAsia="Times New Roman" w:hAnsi="Times New Roman"/>
          <w:sz w:val="18"/>
          <w:szCs w:val="18"/>
          <w:color w:val="auto"/>
        </w:rPr>
      </w:pPr>
    </w:p>
    <w:p>
      <w:pPr>
        <w:jc w:val="both"/>
        <w:ind w:left="1420" w:right="100" w:firstLine="8"/>
        <w:spacing w:after="0" w:line="266" w:lineRule="auto"/>
        <w:tabs>
          <w:tab w:leader="none" w:pos="16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member of the undersigned’s immediate family or to any trust or other legal entity for the direct or indirect benefit of the undersigned or the immediate family of the undersigned, or if the undersigned is a trust, to a trustor or beneficiary of the trust or to the estate of a beneficiary of such trust, provided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the laws of intestate succession;</w:t>
      </w:r>
    </w:p>
    <w:p>
      <w:pPr>
        <w:spacing w:after="0" w:line="117" w:lineRule="exact"/>
        <w:rPr>
          <w:rFonts w:ascii="Times New Roman" w:cs="Times New Roman" w:eastAsia="Times New Roman" w:hAnsi="Times New Roman"/>
          <w:sz w:val="18"/>
          <w:szCs w:val="18"/>
          <w:color w:val="auto"/>
        </w:rPr>
      </w:pPr>
    </w:p>
    <w:p>
      <w:pPr>
        <w:ind w:left="1420" w:right="600" w:firstLine="8"/>
        <w:spacing w:after="0" w:line="282" w:lineRule="auto"/>
        <w:tabs>
          <w:tab w:leader="none" w:pos="17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not an officer or director of the Company, in connection with a sale of the Undersigned’s Securities acquired in the Public Offering or in open market transactions after the completion of the Public Offering;</w:t>
      </w:r>
    </w:p>
    <w:p>
      <w:pPr>
        <w:spacing w:after="0" w:line="53" w:lineRule="exact"/>
        <w:rPr>
          <w:rFonts w:ascii="Times New Roman" w:cs="Times New Roman" w:eastAsia="Times New Roman" w:hAnsi="Times New Roman"/>
          <w:sz w:val="18"/>
          <w:szCs w:val="18"/>
          <w:color w:val="auto"/>
        </w:rPr>
      </w:pPr>
    </w:p>
    <w:p>
      <w:pPr>
        <w:ind w:left="1420" w:firstLine="8"/>
        <w:spacing w:after="0" w:line="261" w:lineRule="auto"/>
        <w:tabs>
          <w:tab w:leader="none" w:pos="167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member, partner, partnership, limited liability company, trust or other business entity that is an affiliate (as defined in Rule 405 as promulgated by the SEC under the Securities Act of 1933, as amended) of the undersigned, or to any investment fund or other entity controlling, controlled by, managing or managed by or under common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48" w:name="page49"/>
    <w:bookmarkEnd w:id="48"/>
    <w:p>
      <w:pPr>
        <w:ind w:left="42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by the undersigned to its or its affiliates’ directors, officers, employees, managers, managing members, members, stockholders, partners, beneficiaries (or the estates thereof) or other equity holders;</w:t>
      </w:r>
    </w:p>
    <w:p>
      <w:pPr>
        <w:spacing w:after="0" w:line="72" w:lineRule="exact"/>
        <w:rPr>
          <w:sz w:val="20"/>
          <w:szCs w:val="20"/>
          <w:color w:val="auto"/>
        </w:rPr>
      </w:pPr>
    </w:p>
    <w:p>
      <w:pPr>
        <w:ind w:left="420" w:firstLine="8"/>
        <w:spacing w:after="0" w:line="255" w:lineRule="auto"/>
        <w:tabs>
          <w:tab w:leader="none" w:pos="7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stock options or other rights to purchase shares of Common Stock (including, in each case, by way of “net” or “cashless” exercise), including for the payment of the exercise price and tax and remittance payments due as a result of the vesting, settlement, or exercise of such stock options or other rights, provided that any such shares of Common Stock received upon such exercise, vesting or settlement shall be subject to the terms of this Lock-Up Agreement, and provided further that any such stock options or other rights are held by the undersigned pursuant to an agreement or equity awards granted under a stock incentive plan or other equity award plan, each such agreement or plan which is described in the Prospectus Supplement;</w:t>
      </w:r>
    </w:p>
    <w:p>
      <w:pPr>
        <w:spacing w:after="0" w:line="80" w:lineRule="exact"/>
        <w:rPr>
          <w:rFonts w:ascii="Times New Roman" w:cs="Times New Roman" w:eastAsia="Times New Roman" w:hAnsi="Times New Roman"/>
          <w:sz w:val="18"/>
          <w:szCs w:val="18"/>
          <w:color w:val="auto"/>
        </w:rPr>
      </w:pPr>
    </w:p>
    <w:p>
      <w:pPr>
        <w:jc w:val="both"/>
        <w:ind w:left="420" w:right="200" w:firstLine="8"/>
        <w:spacing w:after="0" w:line="266" w:lineRule="auto"/>
        <w:tabs>
          <w:tab w:leader="none" w:pos="7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any contractual arrangement described in the Prospectus Supplement and in effect on the date of the Prospectus Supplement that provides for the repurchase of the Undersigned’s Securities by the Company in connection with the termination of the undersigned’s service with the Company or the death or disability of the undersigned;</w:t>
      </w:r>
    </w:p>
    <w:p>
      <w:pPr>
        <w:spacing w:after="0" w:line="67" w:lineRule="exact"/>
        <w:rPr>
          <w:rFonts w:ascii="Times New Roman" w:cs="Times New Roman" w:eastAsia="Times New Roman" w:hAnsi="Times New Roman"/>
          <w:sz w:val="18"/>
          <w:szCs w:val="18"/>
          <w:color w:val="auto"/>
        </w:rPr>
      </w:pPr>
    </w:p>
    <w:p>
      <w:pPr>
        <w:ind w:left="840" w:hanging="412"/>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Transfer would be permissible under (i), (ii), (iii) or (v) above;</w:t>
      </w:r>
    </w:p>
    <w:p>
      <w:pPr>
        <w:spacing w:after="0" w:line="117" w:lineRule="exact"/>
        <w:rPr>
          <w:rFonts w:ascii="Times New Roman" w:cs="Times New Roman" w:eastAsia="Times New Roman" w:hAnsi="Times New Roman"/>
          <w:sz w:val="18"/>
          <w:szCs w:val="18"/>
          <w:color w:val="auto"/>
        </w:rPr>
      </w:pPr>
    </w:p>
    <w:p>
      <w:pPr>
        <w:ind w:left="420" w:right="100" w:firstLine="8"/>
        <w:spacing w:after="0" w:line="258" w:lineRule="auto"/>
        <w:tabs>
          <w:tab w:leader="none" w:pos="7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on substantially the same terms for holders of a majority of the voting power of the Company’s outstanding shares of capital stock involving a Change of Control of the Company, provided that in the event that such tender offer, merger, consolidation or other similar transaction is not completed, the Undersigned’s Securities shall remain subject to the provisions of this Lock-Up Agreement;</w:t>
      </w:r>
    </w:p>
    <w:p>
      <w:pPr>
        <w:spacing w:after="0" w:line="75" w:lineRule="exact"/>
        <w:rPr>
          <w:rFonts w:ascii="Times New Roman" w:cs="Times New Roman" w:eastAsia="Times New Roman" w:hAnsi="Times New Roman"/>
          <w:sz w:val="18"/>
          <w:szCs w:val="18"/>
          <w:color w:val="auto"/>
        </w:rPr>
      </w:pPr>
    </w:p>
    <w:p>
      <w:pPr>
        <w:ind w:left="420" w:right="60" w:firstLine="8"/>
        <w:spacing w:after="0" w:line="256" w:lineRule="auto"/>
        <w:tabs>
          <w:tab w:leader="none" w:pos="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sales of the Undersigned’s Securities made pursuant to a 10b5-1 trading plan that complies with Rule 10b5-1 under the Exchange Act (“10b5-1 Trading Plan”) that has been entered into by the undersigned prior to the date of this Lock-Up Agreement and provided to the Representative and its counsel, provided that to the extent a public announcement or filing under the Exchange Act, if any, is required of the undersigned or the Company regarding any such sales, such announcement or filing shall include a statement to the effect that any sales were effected pursuant to such 10b5-1 Trading Plan and no other public announcement shall be made voluntarily in connection with such sales;</w:t>
      </w:r>
    </w:p>
    <w:p>
      <w:pPr>
        <w:spacing w:after="0" w:line="79" w:lineRule="exact"/>
        <w:rPr>
          <w:rFonts w:ascii="Times New Roman" w:cs="Times New Roman" w:eastAsia="Times New Roman" w:hAnsi="Times New Roman"/>
          <w:sz w:val="18"/>
          <w:szCs w:val="18"/>
          <w:color w:val="auto"/>
        </w:rPr>
      </w:pPr>
    </w:p>
    <w:p>
      <w:pPr>
        <w:ind w:left="420" w:right="760" w:firstLine="8"/>
        <w:spacing w:after="0" w:line="282" w:lineRule="auto"/>
        <w:tabs>
          <w:tab w:leader="none" w:pos="7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pursuant to orders of a court, a qualified domestic order or in connection with a divorce settlement; or</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00"/>
          </w:cols>
          <w:pgMar w:left="1440" w:top="270" w:right="459" w:bottom="1440" w:gutter="0" w:footer="0" w:header="0"/>
        </w:sectPr>
      </w:pPr>
    </w:p>
    <w:bookmarkStart w:id="49" w:name="page50"/>
    <w:bookmarkEnd w:id="49"/>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(xii) with the prior written consent of Jefferies LLC and Goldman Sachs &amp; Co. LLC on behalf of the Underwriters,</w:t>
      </w:r>
    </w:p>
    <w:p>
      <w:pPr>
        <w:spacing w:after="0" w:line="117" w:lineRule="exact"/>
        <w:rPr>
          <w:sz w:val="20"/>
          <w:szCs w:val="20"/>
          <w:color w:val="auto"/>
        </w:rPr>
      </w:pPr>
    </w:p>
    <w:p>
      <w:pPr>
        <w:ind w:left="1420"/>
        <w:spacing w:after="0" w:line="252" w:lineRule="auto"/>
        <w:rPr>
          <w:sz w:val="20"/>
          <w:szCs w:val="20"/>
          <w:color w:val="auto"/>
        </w:rPr>
      </w:pPr>
      <w:r>
        <w:rPr>
          <w:rFonts w:ascii="Times New Roman" w:cs="Times New Roman" w:eastAsia="Times New Roman" w:hAnsi="Times New Roman"/>
          <w:sz w:val="18"/>
          <w:szCs w:val="18"/>
          <w:color w:val="auto"/>
        </w:rPr>
        <w:t>provided that (A) in the case of (i), (ii), (iii), (v), (viii) and (xi) above, it shall be a condition to the Transfer or distribution that the donee, transferee or distributee, as the case may be, agrees in writing to be bound by the restrictions set forth herein, (B) in the case of (ii), (iii), (v) and (viii) above, no filing under Section 16 of the Securities Exchange Act of 1934, as amended (the “Exchange Act”) or other public filing, report or announcement reporting a reduction in beneficial ownership of shares of Common Stock shall be required or shall be voluntarily made during the Lock-Up Period (other than a required filing on Form 5), (C) in the case of (i), (iv), (vi), (vii) and (xi) above, no filing under Section 16 of the Exchange Act or other public filing, report or announcement shall be voluntarily made and if the undersigned is required to file a report under Section 16 of the Exchange Act during the Lock-Up Period, the undersigned shall include a statement in any such report to the effect that such report (A) relates to the circumstances described in (i), (iv), (vi), (vii) or (xi) above, as applicable and (B) in the case of (i) or (xi) above, that the donee, transferee or distribute, as the case may be, has agreed in writing to be bound by the restrictions set forth herein, and (D) in the case of (i), (ii), (iii), (v) and</w:t>
      </w:r>
    </w:p>
    <w:p>
      <w:pPr>
        <w:spacing w:after="0" w:line="5" w:lineRule="exact"/>
        <w:rPr>
          <w:sz w:val="20"/>
          <w:szCs w:val="20"/>
          <w:color w:val="auto"/>
        </w:rPr>
      </w:pPr>
    </w:p>
    <w:p>
      <w:pPr>
        <w:ind w:left="1420" w:right="80" w:firstLine="8"/>
        <w:spacing w:after="0" w:line="260" w:lineRule="auto"/>
        <w:tabs>
          <w:tab w:leader="none" w:pos="182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it shall be a condition to the Transfer or distribution that such Transfer or distribution does not involve a disposition for value.</w:t>
      </w:r>
    </w:p>
    <w:p>
      <w:pPr>
        <w:spacing w:after="0" w:line="73" w:lineRule="exact"/>
        <w:rPr>
          <w:rFonts w:ascii="Times New Roman" w:cs="Times New Roman" w:eastAsia="Times New Roman" w:hAnsi="Times New Roman"/>
          <w:sz w:val="18"/>
          <w:szCs w:val="18"/>
          <w:color w:val="auto"/>
        </w:rPr>
      </w:pPr>
    </w:p>
    <w:p>
      <w:pPr>
        <w:ind w:left="440" w:right="100" w:hanging="4"/>
        <w:spacing w:after="0" w:line="25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a cash basis of options or other rights granted under a stock incentive plan or other equity award plan, which plan is described in the Prospectus Supplement, provided that no filing under the Exchange Act or other public filing, report or announcement reporting a change in beneficial ownership of shares of Common Stock shall be voluntarily made during the Lock-Up Period and if the undersigned is required to file a report under Section 16 of the Exchange Act reporting a change in beneficial ownership of shares of Common Stock during the Lock-Up Period, the undersigned shall clearly indicate in the footnotes thereto that the filing relates to the circumstances described in this clause, and provided further that any such shares of Common Stock received upon such exercise shall be subject to the terms of this Lock-Up Agreement; or</w:t>
      </w:r>
    </w:p>
    <w:p>
      <w:pPr>
        <w:spacing w:after="0" w:line="79" w:lineRule="exact"/>
        <w:rPr>
          <w:rFonts w:ascii="Times New Roman" w:cs="Times New Roman" w:eastAsia="Times New Roman" w:hAnsi="Times New Roman"/>
          <w:sz w:val="18"/>
          <w:szCs w:val="18"/>
          <w:color w:val="auto"/>
        </w:rPr>
      </w:pPr>
    </w:p>
    <w:p>
      <w:pPr>
        <w:ind w:left="440" w:right="20" w:hanging="4"/>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plan meeting the requirements of Rule 10b5-1 under the Exchange Act after the date of this Lock-Up Agreement relating to the sale of the Undersigned’s Securities, provided that (i) the securities subject to such plan may not be Transferred until after the expiration of the Lock-Up Period and (ii) no public announcement or filing under the Exchange Act shall be voluntarily made (whether by or on behalf of the undersigned, the Company or any other party) regarding, or otherwise disclosing, the establishment of such plan during the Lock-Up Period, and if any such filing, report or announcement shall be legally required during the Lock-Up Period, such filing, report or announcement shall clearly indicate that none of the securities subject to such plan may be transferred, sold or otherwise disposed of pursuant to such plan until the expiration of the Lock-Up Period.</w:t>
      </w:r>
    </w:p>
    <w:p>
      <w:pPr>
        <w:spacing w:after="0" w:line="18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current or former marriage, domestic partnership or adoption, not more remote than first cousin. For purposes of this Lock-Up Agreement,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 majority of the outstanding voting securities of the Company (or the surviving entity).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50" w:name="page51"/>
    <w:bookmarkEnd w:id="50"/>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now has, and except as contemplated by clause (a) of the fifth paragraph of this Lock-Up Agreement, for the duration of the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Securities except in compliance with the foregoing restrictions.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Lock-Up Agreement will automatically terminate and the undersigned will automatically be released from all of his, her or its obligations hereunder upon the earliest to occur, if any, of (i) prior to the execution of the Underwriting Agreement, the Company advises the Representatives in writing that it has determined not to proceed with the Public Offering, (ii) the Company files an application to withdraw the registration statement related to the Public Offering, (iii) the Underwriting Agreement is executed but is terminated (other than the provisions thereof which survive termination) prior to payment for and delivery of the Shares to be sold thereunder, or (iv) June 30, 2026, in the event that the Underwriting Agreement has not been executed by such date.</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Representative withdraws from or declines to participate in the Public Offering, all references to the Representatives contained in this Lock-Up Agreement shall be deemed to refer to the remaining Representatives that continue to participate in the Public Offering (the “Remaining Representatives”), and, in such event, any written consent, waiver or notice given or delivered in connection with this Lock-Up Agreement by the Remaining Representatives shall be deemed to be sufficient and effective for all purposes under this Lock-Up Agreement.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or investors’ rights agreement to which the undersigned and the Company may be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apply only to the proposed Public Offering, and any other action taken by the Company in connection with the proposed Public Offering.</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consents to receipt of this Lock-Up Agreement in electronic form and understands and agrees that execution and delivery of this Lock-Up Agreement by facsimile transmission, electronic mail (including pdf or any electronic signature complying with the U.S. federal ESIGN Act of 2000, e.g., www.docusign.com or www.echosign.com) or other electronic transmission is legal, valid and binding for all purposes.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51" w:name="page52"/>
    <w:bookmarkEnd w:id="5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-126365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-126365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-126365</wp:posOffset>
            </wp:positionV>
            <wp:extent cx="27946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w:t>
      </w:r>
    </w:p>
    <w:p>
      <w:pPr>
        <w:spacing w:after="0" w:line="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custodian, trustee, or on behalf of an entity)</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760"/>
          </w:cols>
          <w:pgMar w:left="440" w:top="270" w:right="6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Executive Officers and Others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Signing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131"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Fair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Rishi Gupta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Garland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Mika Kakefuda Derynck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Jake Bauer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Rahul Ballal</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Lori Kunkel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131" w:lineRule="exact"/>
        <w:rPr>
          <w:sz w:val="20"/>
          <w:szCs w:val="20"/>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Fair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Helen Collins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Hohl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0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FORM OF PRE-FUNDED WARRANT TO PURCHASE COMMON STOCK</w:t>
            </w:r>
          </w:p>
        </w:tc>
      </w:tr>
      <w:tr>
        <w:trPr>
          <w:trHeight w:val="414"/>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Number of Shares: [            ]</w:t>
            </w:r>
          </w:p>
        </w:tc>
      </w:tr>
      <w:tr>
        <w:trPr>
          <w:trHeight w:val="234"/>
        </w:trPr>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(subject to adjustment)</w:t>
            </w:r>
          </w:p>
        </w:tc>
      </w:tr>
      <w:tr>
        <w:trPr>
          <w:trHeight w:val="41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No. [___]</w:t>
            </w:r>
          </w:p>
        </w:tc>
        <w:tc>
          <w:tcPr>
            <w:tcW w:w="74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Original Issue Date: [   ], 2026</w:t>
            </w: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ENLIVEN THERAPEUTICS, INC.</w:t>
            </w:r>
          </w:p>
        </w:tc>
        <w:tc>
          <w:tcPr>
            <w:tcW w:w="7400" w:type="dxa"/>
            <w:vAlign w:val="bottom"/>
          </w:tcPr>
          <w:p>
            <w:pPr>
              <w:spacing w:after="0"/>
              <w:rPr>
                <w:sz w:val="20"/>
                <w:szCs w:val="20"/>
                <w:color w:val="auto"/>
              </w:rPr>
            </w:pPr>
          </w:p>
        </w:tc>
      </w:tr>
      <w:tr>
        <w:trPr>
          <w:trHeight w:val="410"/>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Enliven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w:t>
            </w:r>
          </w:p>
        </w:tc>
      </w:tr>
      <w:tr>
        <w:trPr>
          <w:trHeight w:val="238"/>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sufficiency of which are hereby acknowledged, [ </w:t>
            </w:r>
          </w:p>
        </w:tc>
        <w:tc>
          <w:tcPr>
            <w:tcW w:w="7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w:t>
            </w:r>
          </w:p>
        </w:tc>
      </w:tr>
    </w:tbl>
    <w:p>
      <w:pPr>
        <w:ind w:left="4" w:right="20"/>
        <w:spacing w:after="0" w:line="253" w:lineRule="auto"/>
        <w:rPr>
          <w:sz w:val="20"/>
          <w:szCs w:val="20"/>
          <w:color w:val="auto"/>
        </w:rPr>
      </w:pPr>
      <w:r>
        <w:rPr>
          <w:rFonts w:ascii="Times New Roman" w:cs="Times New Roman" w:eastAsia="Times New Roman" w:hAnsi="Times New Roman"/>
          <w:sz w:val="18"/>
          <w:szCs w:val="18"/>
          <w:color w:val="auto"/>
        </w:rPr>
        <w:t>from the Company up to a total of [  ]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184" w:hanging="184"/>
        <w:spacing w:after="0"/>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5" w:lineRule="exact"/>
        <w:rPr>
          <w:rFonts w:ascii="Times New Roman" w:cs="Times New Roman" w:eastAsia="Times New Roman" w:hAnsi="Times New Roman"/>
          <w:sz w:val="18"/>
          <w:szCs w:val="18"/>
          <w:color w:val="auto"/>
        </w:rPr>
      </w:pPr>
    </w:p>
    <w:p>
      <w:pPr>
        <w:ind w:left="4" w:right="80" w:firstLine="436"/>
        <w:spacing w:after="0" w:line="257" w:lineRule="auto"/>
        <w:tabs>
          <w:tab w:leader="none" w:pos="6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ind w:left="4" w:right="80" w:firstLine="436"/>
        <w:spacing w:after="0" w:line="259" w:lineRule="auto"/>
        <w:tabs>
          <w:tab w:leader="none" w:pos="6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spacing w:after="0" w:line="179"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shall have the meaning ascribed to it in Section 13(d) of the Exchange Act, and all related rules, regulations and jurisprudence.</w:t>
      </w:r>
    </w:p>
    <w:p>
      <w:pPr>
        <w:sectPr>
          <w:pgSz w:w="11900" w:h="16838" w:orient="portrait"/>
          <w:cols w:equalWidth="0" w:num="1">
            <w:col w:w="11024"/>
          </w:cols>
          <w:pgMar w:left="436" w:top="117" w:right="439" w:bottom="1440" w:gutter="0" w:footer="0" w:header="0"/>
        </w:sectPr>
      </w:pPr>
    </w:p>
    <w:bookmarkStart w:id="54" w:name="page55"/>
    <w:bookmarkEnd w:id="54"/>
    <w:p>
      <w:pPr>
        <w:ind w:left="4" w:firstLine="436"/>
        <w:spacing w:after="0" w:line="286"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54" w:lineRule="exact"/>
        <w:rPr>
          <w:rFonts w:ascii="Times New Roman" w:cs="Times New Roman" w:eastAsia="Times New Roman" w:hAnsi="Times New Roman"/>
          <w:sz w:val="18"/>
          <w:szCs w:val="18"/>
          <w:color w:val="auto"/>
        </w:rPr>
      </w:pPr>
    </w:p>
    <w:p>
      <w:pPr>
        <w:ind w:left="4" w:right="140" w:firstLine="436"/>
        <w:spacing w:after="0" w:line="286"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Select Market.</w:t>
      </w:r>
    </w:p>
    <w:p>
      <w:pPr>
        <w:spacing w:after="0" w:line="154"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4" w:right="160" w:firstLine="436"/>
        <w:spacing w:after="0" w:line="268" w:lineRule="auto"/>
        <w:tabs>
          <w:tab w:leader="none" w:pos="65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Principal Trading Market with respect to the Common Stock that is in effect on the date of delivery of an applicable Exercise Notice, which as of the Original Issue Date was “T+1.”</w:t>
      </w:r>
    </w:p>
    <w:p>
      <w:pPr>
        <w:spacing w:after="0" w:line="17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280" w:firstLine="436"/>
        <w:spacing w:after="0" w:line="286" w:lineRule="auto"/>
        <w:tabs>
          <w:tab w:leader="none" w:pos="65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Computershare Trust Company, N.A., the Company’s transfer agent and registrar for the Common Stock, and any successor appointed in such capacity.</w:t>
      </w:r>
    </w:p>
    <w:p>
      <w:pPr>
        <w:spacing w:after="0" w:line="156"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Warrants</w:t>
      </w:r>
      <w:r>
        <w:rPr>
          <w:rFonts w:ascii="Times New Roman" w:cs="Times New Roman" w:eastAsia="Times New Roman" w:hAnsi="Times New Roman"/>
          <w:sz w:val="18"/>
          <w:szCs w:val="18"/>
          <w:color w:val="auto"/>
        </w:rPr>
        <w:t>. The Company shall register ownership of this Warrant, upon records to be maintained by the Company for that purpose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ind w:left="4" w:right="60" w:hanging="4"/>
        <w:spacing w:after="0" w:line="254"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its Transfer Agent to, register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Warrants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8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(including Section 11) at any time and from time to time on or after the Original Issue Date, and such rights shall not expire.</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w:t>
      </w:r>
    </w:p>
    <w:p>
      <w:pPr>
        <w:spacing w:after="0" w:line="27" w:lineRule="exact"/>
        <w:rPr>
          <w:sz w:val="20"/>
          <w:szCs w:val="20"/>
          <w:color w:val="auto"/>
        </w:rPr>
      </w:pPr>
    </w:p>
    <w:p>
      <w:pPr>
        <w:ind w:left="4" w:righ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8" w:lineRule="exact"/>
        <w:rPr>
          <w:sz w:val="20"/>
          <w:szCs w:val="20"/>
          <w:color w:val="auto"/>
        </w:rPr>
      </w:pPr>
    </w:p>
    <w:p>
      <w:pPr>
        <w:ind w:left="184" w:hanging="184"/>
        <w:spacing w:after="0"/>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Warrant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the number of Trading Days comprising the Standard Settlement Period following the Exercise Date), upon the request of the Holder, credit such aggregate number of shares of Common Stock specified by the Holder in the Exercise Notice and to which the Holder is entitled pursuant to such exercise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or if the Transfer Agent is then a participant in the DTC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and either (A) there is an effective registration statement permitting the issuance of the Warrant Shares to or the resale of such Warrant Shares by the Holder or (B) the Exercise Shares are eligible for resale by the Holder without volume or</w:t>
      </w:r>
    </w:p>
    <w:p>
      <w:pPr>
        <w:sectPr>
          <w:pgSz w:w="11900" w:h="16838" w:orient="portrait"/>
          <w:cols w:equalWidth="0" w:num="1">
            <w:col w:w="11004"/>
          </w:cols>
          <w:pgMar w:left="436" w:top="266" w:right="459" w:bottom="1440" w:gutter="0" w:footer="0" w:header="0"/>
        </w:sectPr>
      </w:pPr>
    </w:p>
    <w:bookmarkStart w:id="55" w:name="page56"/>
    <w:bookmarkEnd w:id="55"/>
    <w:p>
      <w:pPr>
        <w:ind w:left="4" w:right="2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manner-of-sale restrictions pursuant to Rule 144 promulgated under the Securities Act (assuming cashless exercise of this Warrant). If the Transfer Agent is not a member of the FAST Program or if (A) and (B) above are not true, the Transfer Agent will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w:t>
      </w:r>
    </w:p>
    <w:p>
      <w:pPr>
        <w:spacing w:after="0" w:line="3" w:lineRule="exact"/>
        <w:rPr>
          <w:sz w:val="20"/>
          <w:szCs w:val="20"/>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such Exercise Shares in the name of the Holder or its designee in restricted book-entry form in the Company’s share register. The Holder, or</w:t>
      </w:r>
    </w:p>
    <w:p>
      <w:pPr>
        <w:spacing w:after="0" w:line="9"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spacing w:after="0" w:line="185" w:lineRule="exact"/>
        <w:rPr>
          <w:rFonts w:ascii="Times New Roman" w:cs="Times New Roman" w:eastAsia="Times New Roman" w:hAnsi="Times New Roman"/>
          <w:sz w:val="18"/>
          <w:szCs w:val="18"/>
          <w:color w:val="auto"/>
        </w:rPr>
      </w:pPr>
    </w:p>
    <w:p>
      <w:pPr>
        <w:ind w:left="4" w:firstLine="436"/>
        <w:spacing w:after="0" w:line="271" w:lineRule="auto"/>
        <w:tabs>
          <w:tab w:leader="none" w:pos="699"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fails to deliver to the Holder or its designee Exercise Shares in the manner required pursuant to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within the Standard Settlement Period following the Exercise Date and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b w:val="1"/>
          <w:bCs w:val="1"/>
          <w:color w:val="auto"/>
        </w:rPr>
        <w:t>Buy-In</w:t>
      </w:r>
      <w:r>
        <w:rPr>
          <w:rFonts w:ascii="Times New Roman" w:cs="Times New Roman" w:eastAsia="Times New Roman" w:hAnsi="Times New Roman"/>
          <w:sz w:val="17"/>
          <w:szCs w:val="17"/>
          <w:color w:val="auto"/>
        </w:rPr>
        <w:t>”) but did not receive within the Standard Settlement Period, then the Company shall, within two (2) Trading Days after the Holder’s request (A) pay cash to the Holder in an amount equal to the excess (if any) of Holder’s total purchase price (including brokerage commissions, if any) for the shares of Common Stock so purchased in the Buy-In, less the product of (i) the number of shares of Common Stock purchased in the Buy-In, times (ii) the Closing Sale Price of a share of Common Stock on the Exercise Date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spacing w:after="0" w:line="173" w:lineRule="exact"/>
        <w:rPr>
          <w:rFonts w:ascii="Times New Roman" w:cs="Times New Roman" w:eastAsia="Times New Roman" w:hAnsi="Times New Roman"/>
          <w:sz w:val="17"/>
          <w:szCs w:val="17"/>
          <w:color w:val="auto"/>
        </w:rPr>
      </w:pPr>
    </w:p>
    <w:p>
      <w:pPr>
        <w:ind w:left="4" w:right="20" w:firstLine="436"/>
        <w:spacing w:after="0" w:line="254" w:lineRule="auto"/>
        <w:tabs>
          <w:tab w:leader="none" w:pos="6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6" w:lineRule="exact"/>
        <w:rPr>
          <w:sz w:val="20"/>
          <w:szCs w:val="20"/>
          <w:color w:val="auto"/>
        </w:rPr>
      </w:pPr>
    </w:p>
    <w:p>
      <w:pPr>
        <w:ind w:left="4" w:right="40" w:hanging="4"/>
        <w:spacing w:after="0" w:line="257"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Charges, Taxes and Expenses</w:t>
      </w:r>
      <w:r>
        <w:rPr>
          <w:rFonts w:ascii="Times New Roman" w:cs="Times New Roman" w:eastAsia="Times New Roman" w:hAnsi="Times New Roman"/>
          <w:sz w:val="18"/>
          <w:szCs w:val="18"/>
          <w:color w:val="auto"/>
        </w:rPr>
        <w:t>. Issuance and delivery of shares of Common Stock upon exercise of this Warrant shall be made without charge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issue or transfer tax, transfer agent fee or other incidental tax or expense (excluding any applicable stamp duties) in respect of the issuance of such shares,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color w:val="auto"/>
        </w:rPr>
      </w:pPr>
    </w:p>
    <w:p>
      <w:pPr>
        <w:ind w:left="4" w:right="380" w:hanging="4"/>
        <w:spacing w:after="0" w:line="258"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spacing w:after="0" w:line="183" w:lineRule="exact"/>
        <w:rPr>
          <w:rFonts w:ascii="Times New Roman" w:cs="Times New Roman" w:eastAsia="Times New Roman" w:hAnsi="Times New Roman"/>
          <w:sz w:val="18"/>
          <w:szCs w:val="18"/>
          <w:color w:val="auto"/>
        </w:rPr>
      </w:pPr>
    </w:p>
    <w:p>
      <w:pPr>
        <w:ind w:left="4" w:right="20" w:hanging="4"/>
        <w:spacing w:after="0" w:line="257"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w:t>
      </w:r>
    </w:p>
    <w:p>
      <w:pPr>
        <w:sectPr>
          <w:pgSz w:w="11900" w:h="16838" w:orient="portrait"/>
          <w:cols w:equalWidth="0" w:num="1">
            <w:col w:w="11004"/>
          </w:cols>
          <w:pgMar w:left="436" w:top="270" w:right="459" w:bottom="1440" w:gutter="0" w:footer="0" w:header="0"/>
        </w:sectPr>
      </w:pPr>
    </w:p>
    <w:bookmarkStart w:id="56" w:name="page57"/>
    <w:bookmarkEnd w:id="5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1" w:lineRule="exact"/>
        <w:rPr>
          <w:sz w:val="20"/>
          <w:szCs w:val="20"/>
          <w:color w:val="auto"/>
        </w:rPr>
      </w:pPr>
    </w:p>
    <w:p>
      <w:pPr>
        <w:ind w:left="4" w:right="120" w:hanging="4"/>
        <w:spacing w:after="0" w:line="284" w:lineRule="auto"/>
        <w:tabs>
          <w:tab w:leader="none" w:pos="18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(the “Number of Warrant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89"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spacing w:after="0" w:line="178" w:lineRule="exact"/>
        <w:rPr>
          <w:rFonts w:ascii="Times New Roman" w:cs="Times New Roman" w:eastAsia="Times New Roman" w:hAnsi="Times New Roman"/>
          <w:sz w:val="17"/>
          <w:szCs w:val="17"/>
          <w:color w:val="auto"/>
        </w:rPr>
      </w:pPr>
    </w:p>
    <w:p>
      <w:pPr>
        <w:ind w:left="4" w:firstLine="436"/>
        <w:spacing w:after="0" w:line="252" w:lineRule="auto"/>
        <w:tabs>
          <w:tab w:leader="none" w:pos="6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xml:space="preserve">.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any distribution of Purchase Rights (as defined below)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and any Fundamental Transaction (as defined below) subject to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4"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w:t>
      </w:r>
    </w:p>
    <w:p>
      <w:pPr>
        <w:sectPr>
          <w:pgSz w:w="11900" w:h="16838" w:orient="portrait"/>
          <w:cols w:equalWidth="0" w:num="1">
            <w:col w:w="11024"/>
          </w:cols>
          <w:pgMar w:left="436" w:top="270" w:right="439" w:bottom="1440" w:gutter="0" w:footer="0" w:header="0"/>
        </w:sectPr>
      </w:pPr>
    </w:p>
    <w:bookmarkStart w:id="57" w:name="page58"/>
    <w:bookmarkEnd w:id="5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spacing w:after="0" w:line="188" w:lineRule="exact"/>
        <w:rPr>
          <w:sz w:val="20"/>
          <w:szCs w:val="20"/>
          <w:color w:val="auto"/>
        </w:rPr>
      </w:pPr>
    </w:p>
    <w:p>
      <w:pPr>
        <w:ind w:left="4" w:right="20" w:firstLine="436"/>
        <w:spacing w:after="0" w:line="270" w:lineRule="auto"/>
        <w:tabs>
          <w:tab w:leader="none" w:pos="69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or a series of related transactions,</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w:t>
      </w:r>
    </w:p>
    <w:p>
      <w:pPr>
        <w:spacing w:after="0" w:line="18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ectPr>
          <w:pgSz w:w="11900" w:h="16838" w:orient="portrait"/>
          <w:cols w:equalWidth="0" w:num="1">
            <w:col w:w="11024"/>
          </w:cols>
          <w:pgMar w:left="436" w:top="270" w:right="439" w:bottom="1440" w:gutter="0" w:footer="0" w:header="0"/>
        </w:sectPr>
      </w:pPr>
    </w:p>
    <w:bookmarkStart w:id="58" w:name="page59"/>
    <w:bookmarkEnd w:id="58"/>
    <w:p>
      <w:pPr>
        <w:ind w:left="4" w:firstLine="436"/>
        <w:spacing w:after="0" w:line="253" w:lineRule="auto"/>
        <w:tabs>
          <w:tab w:leader="none" w:pos="69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the Company shall deliver to the Holder a notice of such Fundamental Transaction at least thirty (30) days prior to the date such Fundamental Transaction is consummated.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pacing w:after="0" w:line="187" w:lineRule="exact"/>
        <w:rPr>
          <w:rFonts w:ascii="Times New Roman" w:cs="Times New Roman" w:eastAsia="Times New Roman" w:hAnsi="Times New Roman"/>
          <w:sz w:val="18"/>
          <w:szCs w:val="18"/>
          <w:color w:val="auto"/>
        </w:rPr>
      </w:pPr>
    </w:p>
    <w:p>
      <w:pPr>
        <w:ind w:left="4" w:right="80" w:hanging="4"/>
        <w:spacing w:after="0" w:line="267"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right="140"/>
        <w:spacing w:after="0" w:line="269" w:lineRule="auto"/>
        <w:rPr>
          <w:sz w:val="20"/>
          <w:szCs w:val="20"/>
          <w:color w:val="auto"/>
        </w:rPr>
      </w:pPr>
      <w:r>
        <w:rPr>
          <w:rFonts w:ascii="Times New Roman" w:cs="Times New Roman" w:eastAsia="Times New Roman" w:hAnsi="Times New Roman"/>
          <w:sz w:val="17"/>
          <w:szCs w:val="17"/>
          <w:color w:val="auto"/>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If the</w:t>
      </w:r>
    </w:p>
    <w:p>
      <w:pPr>
        <w:spacing w:after="0" w:line="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Warrant Shares are issued in such a cashless exercise, the Company acknowledges and agrees that, in accordance with Section 3(a)(9) of the Securities Act, the holding period of the Exercise Shares issued in such exercise may be tacked on to the holding period of the Warrants being exercised. </w:t>
      </w:r>
      <w:r>
        <w:rPr>
          <w:rFonts w:ascii="Times New Roman" w:cs="Times New Roman" w:eastAsia="Times New Roman" w:hAnsi="Times New Roman"/>
          <w:sz w:val="18"/>
          <w:szCs w:val="18"/>
          <w:color w:val="auto"/>
        </w:rPr>
        <w:t>Except as set forth in Section 5(b) (Buy-In remedy) and Section 12 (payment of cash in lieu of fractional shares), in no event will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Warrant be settled in cash.</w:t>
      </w:r>
    </w:p>
    <w:p>
      <w:pPr>
        <w:spacing w:after="0" w:line="187" w:lineRule="exact"/>
        <w:rPr>
          <w:sz w:val="20"/>
          <w:szCs w:val="20"/>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Exercise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of the Warrant shall not have the right to exercise any portion of the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 (or at the election of the Holder prior to the issuance of this Warrant, 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w:t>
      </w:r>
    </w:p>
    <w:p>
      <w:pPr>
        <w:sectPr>
          <w:pgSz w:w="11900" w:h="16838" w:orient="portrait"/>
          <w:cols w:equalWidth="0" w:num="1">
            <w:col w:w="11004"/>
          </w:cols>
          <w:pgMar w:left="436" w:top="270" w:right="459" w:bottom="1440" w:gutter="0" w:footer="0" w:header="0"/>
        </w:sectPr>
      </w:pPr>
    </w:p>
    <w:bookmarkStart w:id="59" w:name="page60"/>
    <w:bookmarkEnd w:id="5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Paragraph 11(a), beneficial ownership of the Holder or the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For any reason at any time, upon the written or oral request of the Holder, the Company shall within one (1) Business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b w:val="1"/>
          <w:bCs w:val="1"/>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provided that any increase in the Maximum Percentage will not be effective until the sixty-first (61st) day after such notice is delivered to the Company and shall not negatively affect any partial exercise effected prior to such change.</w:t>
      </w:r>
    </w:p>
    <w:p>
      <w:pPr>
        <w:spacing w:after="0" w:line="201" w:lineRule="exact"/>
        <w:rPr>
          <w:sz w:val="20"/>
          <w:szCs w:val="20"/>
          <w:color w:val="auto"/>
        </w:rPr>
      </w:pPr>
    </w:p>
    <w:p>
      <w:pPr>
        <w:ind w:right="40" w:firstLine="436"/>
        <w:spacing w:after="0" w:line="253"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have any effect on the applicability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with respect to any subsequent determination of exercisability.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the extent necessary to correct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any portion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which may be defective or inconsistent with the intended beneficial ownership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to make changes or supplements necessary or desirable to properly give effect to such limitation. The limitation contained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not be waived and shall apply to a successor holder of this Warrant.</w:t>
      </w:r>
    </w:p>
    <w:p>
      <w:pPr>
        <w:sectPr>
          <w:pgSz w:w="11900" w:h="16838" w:orient="portrait"/>
          <w:cols w:equalWidth="0" w:num="1">
            <w:col w:w="11000"/>
          </w:cols>
          <w:pgMar w:left="440" w:top="270" w:right="459" w:bottom="1440" w:gutter="0" w:footer="0" w:header="0"/>
        </w:sectPr>
      </w:pPr>
    </w:p>
    <w:bookmarkStart w:id="60" w:name="page61"/>
    <w:bookmarkEnd w:id="60"/>
    <w:p>
      <w:pPr>
        <w:jc w:val="both"/>
        <w:ind w:left="4" w:right="240" w:hanging="4"/>
        <w:spacing w:after="0" w:line="267" w:lineRule="auto"/>
        <w:tabs>
          <w:tab w:leader="none" w:pos="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3" w:lineRule="exact"/>
        <w:rPr>
          <w:rFonts w:ascii="Times New Roman" w:cs="Times New Roman" w:eastAsia="Times New Roman" w:hAnsi="Times New Roman"/>
          <w:sz w:val="18"/>
          <w:szCs w:val="18"/>
          <w:color w:val="auto"/>
        </w:rPr>
      </w:pPr>
    </w:p>
    <w:p>
      <w:pPr>
        <w:ind w:left="4" w:hanging="4"/>
        <w:spacing w:after="0" w:line="255" w:lineRule="auto"/>
        <w:tabs>
          <w:tab w:leader="none" w:pos="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Notice to the Company shall be delivered, mailed or sent to Enliven Therapeutics, Inc., 205 Park Road, Burlingame, CA 94010, Attention: Chief Financial Officer.</w:t>
      </w:r>
    </w:p>
    <w:p>
      <w:pPr>
        <w:spacing w:after="0" w:line="18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9"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120" w:firstLine="436"/>
        <w:spacing w:after="0" w:line="254" w:lineRule="auto"/>
        <w:tabs>
          <w:tab w:leader="none" w:pos="6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ind w:left="4" w:firstLine="436"/>
        <w:spacing w:after="0" w:line="271" w:lineRule="auto"/>
        <w:tabs>
          <w:tab w:leader="none" w:pos="699"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3" w:lineRule="exact"/>
        <w:rPr>
          <w:sz w:val="20"/>
          <w:szCs w:val="20"/>
          <w:color w:val="auto"/>
        </w:rPr>
      </w:pPr>
    </w:p>
    <w:p>
      <w:pPr>
        <w:jc w:val="both"/>
        <w:ind w:left="4" w:right="560" w:hanging="4"/>
        <w:spacing w:after="0" w:line="266" w:lineRule="auto"/>
        <w:tabs>
          <w:tab w:leader="none" w:pos="2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ectPr>
          <w:pgSz w:w="11900" w:h="16838" w:orient="portrait"/>
          <w:cols w:equalWidth="0" w:num="1">
            <w:col w:w="11004"/>
          </w:cols>
          <w:pgMar w:left="436" w:top="268" w:right="459" w:bottom="1440" w:gutter="0" w:footer="0" w:header="0"/>
        </w:sectPr>
      </w:pPr>
    </w:p>
    <w:bookmarkStart w:id="61" w:name="page62"/>
    <w:bookmarkEnd w:id="61"/>
    <w:p>
      <w:pPr>
        <w:ind w:right="80" w:firstLine="436"/>
        <w:spacing w:after="0" w:line="256"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Subject to compliance with applicable securities laws and restrictions on transfer set forth in this Warrant,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w:t>
      </w:r>
    </w:p>
    <w:p>
      <w:pPr>
        <w:spacing w:after="0" w:line="206" w:lineRule="exact"/>
        <w:rPr>
          <w:rFonts w:ascii="Times New Roman" w:cs="Times New Roman" w:eastAsia="Times New Roman" w:hAnsi="Times New Roman"/>
          <w:sz w:val="18"/>
          <w:szCs w:val="18"/>
          <w:color w:val="auto"/>
        </w:rPr>
      </w:pPr>
    </w:p>
    <w:p>
      <w:pPr>
        <w:ind w:right="80" w:firstLine="436"/>
        <w:spacing w:after="0" w:line="252" w:lineRule="auto"/>
        <w:tabs>
          <w:tab w:leader="none" w:pos="6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ENLIVEN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480"/>
          </w:cols>
          <w:pgMar w:left="880" w:top="270" w:right="539" w:bottom="1440" w:gutter="0" w:footer="0" w:header="0"/>
        </w:sectPr>
      </w:pPr>
    </w:p>
    <w:bookmarkStart w:id="63" w:name="page64"/>
    <w:bookmarkEnd w:id="6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60" w:hanging="4"/>
        <w:spacing w:after="0" w:line="28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 (the “Warrant”) issued by Enliven Therapeutics, Inc., a Delaware corporation (the “Company”).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left="4" w:right="160" w:hanging="4"/>
        <w:spacing w:after="0" w:line="28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together with the Attribution Parties, will not beneficially own in excess of the number of shares of Common Stock (as determined in accordance with Section 13(d) of the Securities Exchange Act of 1934, as amended) permitted to be owned under Section 11 of the Warrant to which this notice relates.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8483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8483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8483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8483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8483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984"/>
          </w:cols>
          <w:pgMar w:left="436" w:top="266" w:right="4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112" w:lineRule="exact"/>
        <w:rPr>
          <w:sz w:val="20"/>
          <w:szCs w:val="20"/>
          <w:color w:val="auto"/>
        </w:rPr>
      </w:pPr>
    </w:p>
    <w:p>
      <w:pPr>
        <w:ind w:left="9824"/>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9864"/>
        <w:spacing w:after="0"/>
        <w:rPr>
          <w:sz w:val="20"/>
          <w:szCs w:val="20"/>
          <w:color w:val="auto"/>
        </w:rPr>
      </w:pPr>
      <w:r>
        <w:rPr>
          <w:rFonts w:ascii="Times New Roman" w:cs="Times New Roman" w:eastAsia="Times New Roman" w:hAnsi="Times New Roman"/>
          <w:sz w:val="18"/>
          <w:szCs w:val="18"/>
          <w:color w:val="auto"/>
        </w:rPr>
        <w:t>f: 866.974.7329</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Enliven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205 Park Road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23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Follow-On Public Offering of Enliven Therapeutics,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Enliven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of the offer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sale of up to 10,533,334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$0.001 par value per share, including up to 1,600,000 shares issuable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the exercise in full of an option to purchase additional shares granted to the underwriters, and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 to an aggregate of 1,733,333 shares of the Company’s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pursuant to the Company’s Registration Statement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Form S-3ASR (Registration No. 333-289582),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became automatically effective upon filing with the Commission on August 13, 2025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prospectus contained within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Statement dated June 11, 2026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4" w:right="480"/>
        <w:spacing w:after="0" w:line="266" w:lineRule="auto"/>
        <w:rPr>
          <w:sz w:val="20"/>
          <w:szCs w:val="20"/>
          <w:color w:val="auto"/>
        </w:rPr>
      </w:pPr>
      <w:r>
        <w:rPr>
          <w:rFonts w:ascii="Times New Roman" w:cs="Times New Roman" w:eastAsia="Times New Roman" w:hAnsi="Times New Roman"/>
          <w:sz w:val="18"/>
          <w:szCs w:val="18"/>
          <w:color w:val="auto"/>
        </w:rPr>
        <w:t>The offering of the Shares and the Warrants is being made pursuant to that certain underwriting agreement, dated June 11, 2026, by and among the Company and Jefferies LLC, Goldman Sachs &amp; Co. LLC, Morgan Stanley &amp; Co. LLC and Barclays Capital Inc., as representatives of the several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w:t>
      </w:r>
    </w:p>
    <w:p>
      <w:pPr>
        <w:spacing w:after="0" w:line="3" w:lineRule="exact"/>
        <w:rPr>
          <w:sz w:val="20"/>
          <w:szCs w:val="20"/>
          <w:color w:val="auto"/>
        </w:rPr>
      </w:pPr>
    </w:p>
    <w:p>
      <w:pPr>
        <w:ind w:left="4" w:right="140" w:hanging="4"/>
        <w:spacing w:after="0" w:line="273" w:lineRule="auto"/>
        <w:tabs>
          <w:tab w:leader="none" w:pos="31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the Warrants and the Warrant Shares will be issued and sold in compliance with applicable U.S. federal and state securities laws and in the manner stated in the Registration Statement and the Prospectus; and (vi) the legal capacity of all natural persons.</w:t>
      </w:r>
    </w:p>
    <w:p>
      <w:pPr>
        <w:sectPr>
          <w:pgSz w:w="11900" w:h="16838" w:orient="portrait"/>
          <w:cols w:equalWidth="0" w:num="1">
            <w:col w:w="11024"/>
          </w:cols>
          <w:pgMar w:left="436" w:top="117"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Enliven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(i) the Shares have been duly authorized by the Company and, when issued and delivered by the Company against payment therefor in accordance with the terms of the Underwriting Agreement, will be validly issued, fully paid and nonassessable; (ii) the Warrants have been duly authorized by the Company and, when issued, delivered and paid for in accordance with the terms of the Underwriting Agreement, will constitute valid and legally binding obligations of the Company; and (iii) the Warrant Shares have been duly authorized by the Company and, when issued and delivered by the Company upon exercise of the Warrants in accordance with the terms of the Warrants, will be validly issued, fully paid and nonassessable.</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the federal laws of the United States of America and, solely as to the Warrants constituting valid and binding obligations of the Company, the laws of the State of New York.</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980"/>
          </w:cols>
          <w:pgMar w:left="440" w:top="810" w:right="47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60120" cy="540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6012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Enliven Therapeutics Announces Pricing of Upsized Public Offering of Common Stock and Pre-Funded Warrants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BURLINGAME, CA, June 11, 2026 /PRNewswire/ — Enliven Therapeutics, Inc. (Enliven or the Company) (Nasdaq: ELVN), a clinical-stage biopharmaceutical company focused on the discovery and development of small molecule therapeutics, today announced that it has priced its previously announced upsized underwritten public offering of 8,933,334 shares of its common stock at a price to the public of $37.50 per share and, in lieu of common stock to investors who so choose, pre-funded warrants to purchase up to 1,733,333 shares of Enliven’s common stock at a price to the public of $37.499 per pre-funded warrant, which represents the per share public offering price of each share of Enliven’s common stock less the $0.001 per share exercise price for each pre-funded warrant. All of the shares and pre-funded warrants are being sold by Enliven. The gross proceeds from the offering are expected to be approximately $400.0 million before deducting underwriting discounts and commissions and other offering expenses. The offering is expected to close on or about June 15, 2026, subject to the satisfaction of customary closing conditions. In addition, Enliven has granted the underwriters a 30-day option to purchase up to an additional 1,600,000 shares of its common stock at the public offering price, less the underwriting discounts and commissions.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Jefferies, Goldman Sachs &amp; Co. LLC, Morgan Stanley and Barclays are acting as joint book-running managers for the offering. Mizuho is also acting as a book-running manager and LifeSci Capital is acting as a passive book-running manager for the offering. Baird is acting as lead manager and Jones is acting as manager for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being made pursuant to a Registration Statement on Form S-3ASR, including a base prospectus, which became automatically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filing with the U.S. Securities and Exchange Commission (SEC) on August 13, 2025, and Enliven has filed with the SEC a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and accompanying prospectus relating to the offering. A final prospectus supplement and accompanying prospectus relating to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also be filed with the SEC. These documents can be accessed for free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When available, copies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prospectus supplement and the accompanying prospectus relating to the offering may also be obtained from: Jefferies LLC, Attention: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 Prospectus Department, 520 Madison Avenue, New York, NY 10022, by telephone at (877) 821-7388, or by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Prospectus_Department@Jefferies.com; Goldman Sachs &amp; Co. LLC, Attention: Prospectus Department, 200 West Street, New York, NY 10282,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at (866) 471-2526, or by email at Prospectus-ny@ny.email.gs.com; Morgan Stanley &amp; Co. LLC, Attention: Prospectus Department, 180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Varick Street, 2nd Floor, New York, New York 10014, or by email at prospectus@morganstanley.com; or Barclays Capital Inc., c/o Broadridge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Solutions, 1155 Long Island Avenue, Edgewood, New York 11717, by telephone at (888) 603-5847, or by email at barclaysprospectus@broadridge.com.</w:t>
      </w:r>
    </w:p>
    <w:p>
      <w:pPr>
        <w:sectPr>
          <w:pgSz w:w="11900" w:h="16838" w:orient="portrait"/>
          <w:cols w:equalWidth="0" w:num="1">
            <w:col w:w="11020"/>
          </w:cols>
          <w:pgMar w:left="440" w:top="117" w:right="439" w:bottom="1440" w:gutter="0" w:footer="0" w:header="0"/>
        </w:sectPr>
      </w:pPr>
    </w:p>
    <w:bookmarkStart w:id="67" w:name="page68"/>
    <w:bookmarkEnd w:id="6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This press release shall not constitute an offer to sell or a solicitation of an offer to buy, nor will there be any sale of these securities in any state or other jurisdiction in which such offer, solicitation, or sale would be unlawful before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Enliven Therapeutics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Enliven is a clinical-stage biopharmaceutical company focused on the discovery and development of small molecule therapeutics to help people not only live longer, but live better. Enliven aims to address existing and emerging unmet needs with a precision medicine approach that improves survival and enhances overall well-being. Enliven’s discovery process combines deep insights in clinically validated biological targets and differentiated chemistry to design potentially first-in-class or best-in-class therapies. Enliven is based in Burlingame, California.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about Enliven within the meaning of the federal securities laws, including those related to the timing of the closing of the offering and the expected gross proceeds. These forward-looking statements are neither promises nor guarantees and are subject to a variety of risks and uncertainties, including but not limited to: the satisfaction of customary closing conditions; prevailing market conditions; general economic and market conditions as well as geopolitical developments; and other risks. Information regarding the foregoing and additional risks may be found in the section entitled “Risk Factors” in documents that Enliven files from time to time with the Securities and Exchange Commission, including the registration statement and the preliminary prospectus supplement relating to the public offering. These forward-looking statements are made as of the date of this press release, and Enliven assumes no obligation to update or revise any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ir@enliventherapeutics.com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media@enliventherapeutics.com</w:t>
      </w:r>
    </w:p>
    <w:sectPr>
      <w:pgSz w:w="11900" w:h="16838" w:orient="portrait"/>
      <w:cols w:equalWidth="0" w:num="1">
        <w:col w:w="11000"/>
      </w:cols>
      <w:pgMar w:left="440" w:top="128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
      <w:numFmt w:val="bullet"/>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4"/>
    </w:lvl>
  </w:abstractNum>
  <w:abstractNum w:abstractNumId="5">
    <w:nsid w:val="3804823E"/>
    <w:multiLevelType w:val="hybridMultilevel"/>
    <w:lvl w:ilvl="0">
      <w:lvlJc w:val="left"/>
      <w:lvlText w:val="%1"/>
      <w:numFmt w:val="lowerLetter"/>
      <w:start w:val="1"/>
    </w:lvl>
    <w:lvl w:ilvl="1">
      <w:lvlJc w:val="left"/>
      <w:lvlText w:val="(%2)"/>
      <w:numFmt w:val="lowerLetter"/>
      <w:start w:val="9"/>
    </w:lvl>
  </w:abstractNum>
  <w:abstractNum w:abstractNumId="6">
    <w:nsid w:val="77465F01"/>
    <w:multiLevelType w:val="hybridMultilevel"/>
    <w:lvl w:ilvl="0">
      <w:lvlJc w:val="left"/>
      <w:lvlText w:val="(%1)"/>
      <w:numFmt w:val="lowerLetter"/>
      <w:start w:val="9"/>
    </w:lvl>
    <w:lvl w:ilvl="1">
      <w:lvlJc w:val="left"/>
      <w:lvlText w:val="(%2)"/>
      <w:numFmt w:val="lowerLetter"/>
      <w:start w:val="11"/>
    </w:lvl>
  </w:abstractNum>
  <w:abstractNum w:abstractNumId="7">
    <w:nsid w:val="7724C67E"/>
    <w:multiLevelType w:val="hybridMultilevel"/>
    <w:lvl w:ilvl="0">
      <w:lvlJc w:val="left"/>
      <w:lvlText w:val="(%1)"/>
      <w:numFmt w:val="lowerLetter"/>
      <w:start w:val="13"/>
    </w:lvl>
  </w:abstractNum>
  <w:abstractNum w:abstractNumId="8">
    <w:nsid w:val="5C482A97"/>
    <w:multiLevelType w:val="hybridMultilevel"/>
    <w:lvl w:ilvl="0">
      <w:lvlJc w:val="left"/>
      <w:lvlText w:val="%1"/>
      <w:numFmt w:val="lowerLetter"/>
      <w:start w:val="1"/>
    </w:lvl>
    <w:lvl w:ilvl="1">
      <w:lvlJc w:val="left"/>
      <w:lvlText w:val="(%2)"/>
      <w:numFmt w:val="lowerLetter"/>
      <w:start w:val="16"/>
    </w:lvl>
  </w:abstractNum>
  <w:abstractNum w:abstractNumId="9">
    <w:nsid w:val="2463B9EA"/>
    <w:multiLevelType w:val="hybridMultilevel"/>
    <w:lvl w:ilvl="0">
      <w:lvlJc w:val="left"/>
      <w:lvlText w:val="(%1)"/>
      <w:numFmt w:val="lowerLetter"/>
      <w:start w:val="35"/>
    </w:lvl>
    <w:lvl w:ilvl="1">
      <w:lvlJc w:val="left"/>
      <w:lvlText w:val="%2"/>
      <w:numFmt w:val="lowerLetter"/>
      <w:start w:val="1"/>
    </w:lvl>
  </w:abstractNum>
  <w:abstractNum w:abstractNumId="10">
    <w:nsid w:val="5E884ADC"/>
    <w:multiLevelType w:val="hybridMultilevel"/>
    <w:lvl w:ilvl="0">
      <w:lvlJc w:val="left"/>
      <w:lvlText w:val="%1"/>
      <w:numFmt w:val="lowerLetter"/>
      <w:start w:val="1"/>
    </w:lvl>
    <w:lvl w:ilvl="1">
      <w:lvlJc w:val="left"/>
      <w:lvlText w:val="(%2)"/>
      <w:numFmt w:val="lowerLetter"/>
      <w:start w:val="19"/>
    </w:lvl>
  </w:abstractNum>
  <w:abstractNum w:abstractNumId="11">
    <w:nsid w:val="51EAD36B"/>
    <w:multiLevelType w:val="hybridMultilevel"/>
    <w:lvl w:ilvl="0">
      <w:lvlJc w:val="left"/>
      <w:lvlText w:val="(%1)"/>
      <w:numFmt w:val="lowerLetter"/>
      <w:start w:val="9"/>
    </w:lvl>
    <w:lvl w:ilvl="1">
      <w:lvlJc w:val="left"/>
      <w:lvlText w:val="%2"/>
      <w:numFmt w:val="lowerLetter"/>
      <w:start w:val="1"/>
    </w:lvl>
  </w:abstractNum>
  <w:abstractNum w:abstractNumId="12">
    <w:nsid w:val="2D517796"/>
    <w:multiLevelType w:val="hybridMultilevel"/>
    <w:lvl w:ilvl="0">
      <w:lvlJc w:val="left"/>
      <w:lvlText w:val="(%1)"/>
      <w:numFmt w:val="lowerLetter"/>
      <w:start w:val="21"/>
    </w:lvl>
  </w:abstractNum>
  <w:abstractNum w:abstractNumId="13">
    <w:nsid w:val="580BD78F"/>
    <w:multiLevelType w:val="hybridMultilevel"/>
    <w:lvl w:ilvl="0">
      <w:lvlJc w:val="left"/>
      <w:lvlText w:val="(%1)"/>
      <w:numFmt w:val="lowerLetter"/>
      <w:start w:val="24"/>
    </w:lvl>
  </w:abstractNum>
  <w:abstractNum w:abstractNumId="14">
    <w:nsid w:val="153EA438"/>
    <w:multiLevelType w:val="hybridMultilevel"/>
    <w:lvl w:ilvl="0">
      <w:lvlJc w:val="left"/>
      <w:lvlText w:val="(%1)"/>
      <w:numFmt w:val="lowerLetter"/>
      <w:start w:val="27"/>
    </w:lvl>
  </w:abstractNum>
  <w:abstractNum w:abstractNumId="15">
    <w:nsid w:val="3855585C"/>
    <w:multiLevelType w:val="hybridMultilevel"/>
    <w:lvl w:ilvl="0">
      <w:lvlJc w:val="left"/>
      <w:lvlText w:val="(%1)"/>
      <w:numFmt w:val="lowerLetter"/>
      <w:start w:val="31"/>
    </w:lvl>
  </w:abstractNum>
  <w:abstractNum w:abstractNumId="16">
    <w:nsid w:val="70A64E2A"/>
    <w:multiLevelType w:val="hybridMultilevel"/>
    <w:lvl w:ilvl="0">
      <w:lvlJc w:val="left"/>
      <w:lvlText w:val="(%1)"/>
      <w:numFmt w:val="lowerLetter"/>
      <w:start w:val="35"/>
    </w:lvl>
  </w:abstractNum>
  <w:abstractNum w:abstractNumId="17">
    <w:nsid w:val="6A2342EC"/>
    <w:multiLevelType w:val="hybridMultilevel"/>
    <w:lvl w:ilvl="0">
      <w:lvlJc w:val="left"/>
      <w:lvlText w:val="(%1)"/>
      <w:numFmt w:val="lowerLetter"/>
      <w:start w:val="39"/>
    </w:lvl>
  </w:abstractNum>
  <w:abstractNum w:abstractNumId="18">
    <w:nsid w:val="2A487CB0"/>
    <w:multiLevelType w:val="hybridMultilevel"/>
    <w:lvl w:ilvl="0">
      <w:lvlJc w:val="left"/>
      <w:lvlText w:val="%1"/>
      <w:numFmt w:val="lowerRoman"/>
      <w:start w:val="1"/>
    </w:lvl>
    <w:lvl w:ilvl="1">
      <w:lvlJc w:val="left"/>
      <w:lvlText w:val="(%2)"/>
      <w:numFmt w:val="lowerLetter"/>
      <w:start w:val="42"/>
    </w:lvl>
  </w:abstractNum>
  <w:abstractNum w:abstractNumId="19">
    <w:nsid w:val="1D4ED43B"/>
    <w:multiLevelType w:val="hybridMultilevel"/>
    <w:lvl w:ilvl="0">
      <w:lvlJc w:val="left"/>
      <w:lvlText w:val="(%1)"/>
      <w:numFmt w:val="lowerRoman"/>
      <w:start w:val="6"/>
    </w:lvl>
    <w:lvl w:ilvl="1">
      <w:lvlJc w:val="left"/>
      <w:lvlText w:val="%2"/>
      <w:numFmt w:val="lowerLetter"/>
      <w:start w:val="1"/>
    </w:lvl>
  </w:abstractNum>
  <w:abstractNum w:abstractNumId="20">
    <w:nsid w:val="725A06FB"/>
    <w:multiLevelType w:val="hybridMultilevel"/>
    <w:lvl w:ilvl="0">
      <w:lvlJc w:val="left"/>
      <w:lvlText w:val="(%1)"/>
      <w:numFmt w:val="lowerLetter"/>
      <w:start w:val="44"/>
    </w:lvl>
  </w:abstractNum>
  <w:abstractNum w:abstractNumId="21">
    <w:nsid w:val="2CD89A32"/>
    <w:multiLevelType w:val="hybridMultilevel"/>
    <w:lvl w:ilvl="0">
      <w:lvlJc w:val="left"/>
      <w:lvlText w:val="(%1)"/>
      <w:numFmt w:val="lowerLetter"/>
      <w:start w:val="47"/>
    </w:lvl>
  </w:abstractNum>
  <w:abstractNum w:abstractNumId="22">
    <w:nsid w:val="57E4CCAF"/>
    <w:multiLevelType w:val="hybridMultilevel"/>
    <w:lvl w:ilvl="0">
      <w:lvlJc w:val="left"/>
      <w:lvlText w:val="%1"/>
      <w:numFmt w:val="lowerLetter"/>
      <w:start w:val="1"/>
    </w:lvl>
    <w:lvl w:ilvl="1">
      <w:lvlJc w:val="left"/>
      <w:lvlText w:val="(%2)"/>
      <w:numFmt w:val="lowerLetter"/>
      <w:start w:val="1"/>
    </w:lvl>
  </w:abstractNum>
  <w:abstractNum w:abstractNumId="23">
    <w:nsid w:val="7A6D8D3C"/>
    <w:multiLevelType w:val="hybridMultilevel"/>
    <w:lvl w:ilvl="0">
      <w:lvlJc w:val="left"/>
      <w:lvlText w:val="(%1)"/>
      <w:numFmt w:val="lowerLetter"/>
      <w:start w:val="9"/>
    </w:lvl>
    <w:lvl w:ilvl="1">
      <w:lvlJc w:val="left"/>
      <w:lvlText w:val="%2"/>
      <w:numFmt w:val="lowerLetter"/>
      <w:start w:val="1"/>
    </w:lvl>
  </w:abstractNum>
  <w:abstractNum w:abstractNumId="24">
    <w:nsid w:val="4B588F54"/>
    <w:multiLevelType w:val="hybridMultilevel"/>
    <w:lvl w:ilvl="0">
      <w:lvlJc w:val="left"/>
      <w:lvlText w:val="(%1)"/>
      <w:numFmt w:val="lowerLetter"/>
      <w:start w:val="4"/>
    </w:lvl>
    <w:lvl w:ilvl="1">
      <w:lvlJc w:val="left"/>
      <w:lvlText w:val="(%2)"/>
      <w:numFmt w:val="lowerLetter"/>
      <w:start w:val="35"/>
    </w:lvl>
  </w:abstractNum>
  <w:abstractNum w:abstractNumId="25">
    <w:nsid w:val="542289EC"/>
    <w:multiLevelType w:val="hybridMultilevel"/>
    <w:lvl w:ilvl="0">
      <w:lvlJc w:val="left"/>
      <w:lvlText w:val="(%1)"/>
      <w:numFmt w:val="lowerRoman"/>
      <w:start w:val="2"/>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4"/>
    </w:lvl>
  </w:abstractNum>
  <w:abstractNum w:abstractNumId="28">
    <w:nsid w:val="7644A45C"/>
    <w:multiLevelType w:val="hybridMultilevel"/>
    <w:lvl w:ilvl="0">
      <w:lvlJc w:val="left"/>
      <w:lvlText w:val="(%1)"/>
      <w:numFmt w:val="lowerLetter"/>
      <w:start w:val="7"/>
    </w:lvl>
  </w:abstractNum>
  <w:abstractNum w:abstractNumId="29">
    <w:nsid w:val="32FFF902"/>
    <w:multiLevelType w:val="hybridMultilevel"/>
    <w:lvl w:ilvl="0">
      <w:lvlJc w:val="left"/>
      <w:lvlText w:val="%1"/>
      <w:numFmt w:val="lowerLetter"/>
      <w:start w:val="1"/>
    </w:lvl>
    <w:lvl w:ilvl="1">
      <w:lvlJc w:val="left"/>
      <w:lvlText w:val="(%2)"/>
      <w:numFmt w:val="lowerLetter"/>
      <w:start w:val="9"/>
    </w:lvl>
  </w:abstractNum>
  <w:abstractNum w:abstractNumId="30">
    <w:nsid w:val="684A481A"/>
    <w:multiLevelType w:val="hybridMultilevel"/>
    <w:lvl w:ilvl="0">
      <w:lvlJc w:val="left"/>
      <w:lvlText w:val="(%1)"/>
      <w:numFmt w:val="lowerLetter"/>
      <w:start w:val="61"/>
    </w:lvl>
    <w:lvl w:ilvl="1">
      <w:lvlJc w:val="left"/>
      <w:lvlText w:val="%2"/>
      <w:numFmt w:val="lowerLetter"/>
      <w:start w:val="1"/>
    </w:lvl>
  </w:abstractNum>
  <w:abstractNum w:abstractNumId="31">
    <w:nsid w:val="579478FE"/>
    <w:multiLevelType w:val="hybridMultilevel"/>
    <w:lvl w:ilvl="0">
      <w:lvlJc w:val="left"/>
      <w:lvlText w:val="%1"/>
      <w:numFmt w:val="lowerRoman"/>
      <w:start w:val="1"/>
    </w:lvl>
    <w:lvl w:ilvl="1">
      <w:lvlJc w:val="left"/>
      <w:lvlText w:val="(%2)"/>
      <w:numFmt w:val="lowerLetter"/>
      <w:start w:val="16"/>
    </w:lvl>
  </w:abstractNum>
  <w:abstractNum w:abstractNumId="32">
    <w:nsid w:val="749ABB43"/>
    <w:multiLevelType w:val="hybridMultilevel"/>
    <w:lvl w:ilvl="0">
      <w:lvlJc w:val="left"/>
      <w:lvlText w:val="(%1)"/>
      <w:numFmt w:val="lowerRoman"/>
      <w:start w:val="7"/>
    </w:lvl>
    <w:lvl w:ilvl="1">
      <w:lvlJc w:val="left"/>
      <w:lvlText w:val="(%2)"/>
      <w:numFmt w:val="lowerLetter"/>
      <w:start w:val="17"/>
    </w:lvl>
  </w:abstractNum>
  <w:abstractNum w:abstractNumId="33">
    <w:nsid w:val="3DC240FB"/>
    <w:multiLevelType w:val="hybridMultilevel"/>
    <w:lvl w:ilvl="0">
      <w:lvlJc w:val="left"/>
      <w:lvlText w:val="(%1)"/>
      <w:numFmt w:val="lowerLetter"/>
      <w:start w:val="18"/>
    </w:lvl>
  </w:abstractNum>
  <w:abstractNum w:abstractNumId="34">
    <w:nsid w:val="1BA026FA"/>
    <w:multiLevelType w:val="hybridMultilevel"/>
    <w:lvl w:ilvl="0">
      <w:lvlJc w:val="left"/>
      <w:lvlText w:val="(%1)"/>
      <w:numFmt w:val="lowerRoman"/>
      <w:start w:val="10"/>
    </w:lvl>
  </w:abstractNum>
  <w:abstractNum w:abstractNumId="35">
    <w:nsid w:val="79A1DEAA"/>
    <w:multiLevelType w:val="hybridMultilevel"/>
    <w:lvl w:ilvl="0">
      <w:lvlJc w:val="left"/>
      <w:lvlText w:val="(%1)"/>
      <w:numFmt w:val="lowerLetter"/>
      <w:start w:val="1"/>
    </w:lvl>
    <w:lvl w:ilvl="1">
      <w:lvlJc w:val="left"/>
      <w:lvlText w:val="(%2)"/>
      <w:numFmt w:val="lowerRoman"/>
      <w:start w:val="1"/>
    </w:lvl>
  </w:abstractNum>
  <w:abstractNum w:abstractNumId="36">
    <w:nsid w:val="75C6C33A"/>
    <w:multiLevelType w:val="hybridMultilevel"/>
    <w:lvl w:ilvl="0">
      <w:lvlJc w:val="left"/>
      <w:lvlText w:val="(%1)"/>
      <w:numFmt w:val="lowerLetter"/>
      <w:start w:val="4"/>
    </w:lvl>
    <w:lvl w:ilvl="1">
      <w:lvlJc w:val="left"/>
      <w:lvlText w:val="(%2)"/>
      <w:numFmt w:val="lowerRoman"/>
      <w:start w:val="1"/>
    </w:lvl>
  </w:abstractNum>
  <w:abstractNum w:abstractNumId="37">
    <w:nsid w:val="12E685FB"/>
    <w:multiLevelType w:val="hybridMultilevel"/>
    <w:lvl w:ilvl="0">
      <w:lvlJc w:val="left"/>
      <w:lvlText w:val="(%1)"/>
      <w:numFmt w:val="lowerLetter"/>
      <w:start w:val="11"/>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lowerLetter"/>
      <w:start w:val="3"/>
    </w:lvl>
  </w:abstractNum>
  <w:abstractNum w:abstractNumId="41">
    <w:nsid w:val="4F4EF005"/>
    <w:multiLevelType w:val="hybridMultilevel"/>
    <w:lvl w:ilvl="0">
      <w:lvlJc w:val="left"/>
      <w:lvlText w:val="(%1)"/>
      <w:numFmt w:val="lowerLetter"/>
      <w:start w:val="3"/>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1"/>
    </w:lvl>
    <w:lvl w:ilvl="1">
      <w:lvlJc w:val="left"/>
      <w:lvlText w:val="(%2)"/>
      <w:numFmt w:val="lowerRoman"/>
      <w:start w:val="1"/>
    </w:lvl>
  </w:abstractNum>
  <w:abstractNum w:abstractNumId="44">
    <w:nsid w:val="275AC794"/>
    <w:multiLevelType w:val="hybridMultilevel"/>
    <w:lvl w:ilvl="0">
      <w:lvlJc w:val="left"/>
      <w:lvlText w:val="(%1)"/>
      <w:numFmt w:val="lowerRoman"/>
      <w:start w:val="6"/>
    </w:lvl>
  </w:abstractNum>
  <w:abstractNum w:abstractNumId="45">
    <w:nsid w:val="39386575"/>
    <w:multiLevelType w:val="hybridMultilevel"/>
    <w:lvl w:ilvl="0">
      <w:lvlJc w:val="left"/>
      <w:lvlText w:val="%1"/>
      <w:numFmt w:val="lowerLetter"/>
      <w:start w:val="1"/>
    </w:lvl>
    <w:lvl w:ilvl="1">
      <w:lvlJc w:val="left"/>
      <w:lvlText w:val="(%2)"/>
      <w:numFmt w:val="lowerRoman"/>
      <w:start w:val="8"/>
    </w:lvl>
  </w:abstractNum>
  <w:abstractNum w:abstractNumId="46">
    <w:nsid w:val="1CF10FD8"/>
    <w:multiLevelType w:val="hybridMultilevel"/>
    <w:lvl w:ilvl="0">
      <w:lvlJc w:val="left"/>
      <w:lvlText w:val="(%1)"/>
      <w:numFmt w:val="lowerLetter"/>
      <w:start w:val="2"/>
    </w:lvl>
    <w:lvl w:ilvl="1">
      <w:lvlJc w:val="left"/>
      <w:lvlText w:val="%2"/>
      <w:numFmt w:val="lowerRoman"/>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lvl w:ilvl="1">
      <w:lvlJc w:val="left"/>
      <w:lvlText w:val="(%2)"/>
      <w:numFmt w:val="lowerLetter"/>
      <w:start w:val="1"/>
    </w:lvl>
  </w:abstractNum>
  <w:abstractNum w:abstractNumId="50">
    <w:nsid w:val="354FE9F9"/>
    <w:multiLevelType w:val="hybridMultilevel"/>
    <w:lvl w:ilvl="0">
      <w:lvlJc w:val="left"/>
      <w:lvlText w:val="%1"/>
      <w:numFmt w:val="decimal"/>
      <w:start w:val="1"/>
    </w:lvl>
    <w:lvl w:ilvl="1">
      <w:lvlJc w:val="left"/>
      <w:lvlText w:val="(%2)"/>
      <w:numFmt w:val="lowerLetter"/>
      <w:start w:val="7"/>
    </w:lvl>
  </w:abstractNum>
  <w:abstractNum w:abstractNumId="51">
    <w:nsid w:val="15B5AF5C"/>
    <w:multiLevelType w:val="hybridMultilevel"/>
    <w:lvl w:ilvl="0">
      <w:lvlJc w:val="left"/>
      <w:lvlText w:val="%1."/>
      <w:numFmt w:val="decimal"/>
      <w:start w:val="2"/>
    </w:lvl>
    <w:lvl w:ilvl="1">
      <w:lvlJc w:val="left"/>
      <w:lvlText w:val="(%2)"/>
      <w:numFmt w:val="lowerLetter"/>
      <w:start w:val="1"/>
    </w:lvl>
  </w:abstractNum>
  <w:abstractNum w:abstractNumId="52">
    <w:nsid w:val="741226BB"/>
    <w:multiLevelType w:val="hybridMultilevel"/>
    <w:lvl w:ilvl="0">
      <w:lvlJc w:val="left"/>
      <w:lvlText w:val="%1."/>
      <w:numFmt w:val="decimal"/>
      <w:start w:val="5"/>
    </w:lvl>
    <w:lvl w:ilvl="1">
      <w:lvlJc w:val="left"/>
      <w:lvlText w:val="(%2)"/>
      <w:numFmt w:val="lowerLetter"/>
      <w:start w:val="1"/>
    </w:lvl>
  </w:abstractNum>
  <w:abstractNum w:abstractNumId="53">
    <w:nsid w:val="D34B6A8"/>
    <w:multiLevelType w:val="hybridMultilevel"/>
    <w:lvl w:ilvl="0">
      <w:lvlJc w:val="left"/>
      <w:lvlText w:val="(%1)"/>
      <w:numFmt w:val="lowerLetter"/>
      <w:start w:val="35"/>
    </w:lvl>
    <w:lvl w:ilvl="1">
      <w:lvlJc w:val="left"/>
      <w:lvlText w:val="(%2)"/>
      <w:numFmt w:val="lowerLetter"/>
      <w:start w:val="2"/>
    </w:lvl>
  </w:abstractNum>
  <w:abstractNum w:abstractNumId="54">
    <w:nsid w:val="10233C99"/>
    <w:multiLevelType w:val="hybridMultilevel"/>
    <w:lvl w:ilvl="0">
      <w:lvlJc w:val="left"/>
      <w:lvlText w:val="%1."/>
      <w:numFmt w:val="decimal"/>
      <w:start w:val="6"/>
    </w:lvl>
  </w:abstractNum>
  <w:abstractNum w:abstractNumId="55">
    <w:nsid w:val="3F6AB60F"/>
    <w:multiLevelType w:val="hybridMultilevel"/>
    <w:lvl w:ilvl="0">
      <w:lvlJc w:val="left"/>
      <w:lvlText w:val="%1."/>
      <w:numFmt w:val="decimal"/>
      <w:start w:val="9"/>
    </w:lvl>
    <w:lvl w:ilvl="1">
      <w:lvlJc w:val="left"/>
      <w:lvlText w:val="(%2)"/>
      <w:numFmt w:val="lowerLetter"/>
      <w:start w:val="1"/>
    </w:lvl>
  </w:abstractNum>
  <w:abstractNum w:abstractNumId="56">
    <w:nsid w:val="61574095"/>
    <w:multiLevelType w:val="hybridMultilevel"/>
    <w:lvl w:ilvl="0">
      <w:lvlJc w:val="left"/>
      <w:lvlText w:val="%1"/>
      <w:numFmt w:val="lowerLetter"/>
      <w:start w:val="1"/>
    </w:lvl>
    <w:lvl w:ilvl="1">
      <w:lvlJc w:val="left"/>
      <w:lvlText w:val="(%2)"/>
      <w:numFmt w:val="lowerLetter"/>
      <w:start w:val="4"/>
    </w:lvl>
  </w:abstractNum>
  <w:abstractNum w:abstractNumId="57">
    <w:nsid w:val="7E0C57B1"/>
    <w:multiLevelType w:val="hybridMultilevel"/>
    <w:lvl w:ilvl="0">
      <w:lvlJc w:val="left"/>
      <w:lvlText w:val="(%1)"/>
      <w:numFmt w:val="lowerLetter"/>
      <w:start w:val="61"/>
    </w:lvl>
    <w:lvl w:ilvl="1">
      <w:lvlJc w:val="left"/>
      <w:lvlText w:val="(%2)"/>
      <w:numFmt w:val="lowerLetter"/>
      <w:start w:val="5"/>
    </w:lvl>
  </w:abstractNum>
  <w:abstractNum w:abstractNumId="58">
    <w:nsid w:val="77AE35EB"/>
    <w:multiLevelType w:val="hybridMultilevel"/>
    <w:lvl w:ilvl="0">
      <w:lvlJc w:val="left"/>
      <w:lvlText w:val="%1"/>
      <w:numFmt w:val="decimal"/>
      <w:start w:val="1"/>
    </w:lvl>
    <w:lvl w:ilvl="1">
      <w:lvlJc w:val="left"/>
      <w:lvlText w:val="(%2)"/>
      <w:numFmt w:val="lowerLetter"/>
      <w:start w:val="8"/>
    </w:lvl>
  </w:abstractNum>
  <w:abstractNum w:abstractNumId="59">
    <w:nsid w:val="579BE4F1"/>
    <w:multiLevelType w:val="hybridMultilevel"/>
    <w:lvl w:ilvl="0">
      <w:lvlJc w:val="left"/>
      <w:lvlText w:val="%1."/>
      <w:numFmt w:val="decimal"/>
      <w:start w:val="10"/>
    </w:lvl>
    <w:lvl w:ilvl="1">
      <w:lvlJc w:val="left"/>
      <w:lvlText w:val="%2"/>
      <w:numFmt w:val="lowerLetter"/>
      <w:start w:val="1"/>
    </w:lvl>
  </w:abstractNum>
  <w:abstractNum w:abstractNumId="60">
    <w:nsid w:val="310C50B3"/>
    <w:multiLevelType w:val="hybridMultilevel"/>
    <w:lvl w:ilvl="0">
      <w:lvlJc w:val="left"/>
      <w:lvlText w:val="%1."/>
      <w:numFmt w:val="decimal"/>
      <w:start w:val="11"/>
    </w:lvl>
    <w:lvl w:ilvl="1">
      <w:lvlJc w:val="left"/>
      <w:lvlText w:val="(%2)"/>
      <w:numFmt w:val="lowerLetter"/>
      <w:start w:val="1"/>
    </w:lvl>
  </w:abstractNum>
  <w:abstractNum w:abstractNumId="61">
    <w:nsid w:val="5FF87E05"/>
    <w:multiLevelType w:val="hybridMultilevel"/>
    <w:lvl w:ilvl="0">
      <w:lvlJc w:val="left"/>
      <w:lvlText w:val="(%1)"/>
      <w:numFmt w:val="lowerLetter"/>
      <w:start w:val="2"/>
    </w:lvl>
  </w:abstractNum>
  <w:abstractNum w:abstractNumId="62">
    <w:nsid w:val="2F305DEF"/>
    <w:multiLevelType w:val="hybridMultilevel"/>
    <w:lvl w:ilvl="0">
      <w:lvlJc w:val="left"/>
      <w:lvlText w:val="%1."/>
      <w:numFmt w:val="decimal"/>
      <w:start w:val="12"/>
    </w:lvl>
    <w:lvl w:ilvl="1">
      <w:lvlJc w:val="left"/>
      <w:lvlText w:val="(%2)"/>
      <w:numFmt w:val="lowerLetter"/>
      <w:start w:val="1"/>
    </w:lvl>
  </w:abstractNum>
  <w:abstractNum w:abstractNumId="63">
    <w:nsid w:val="25A70BF7"/>
    <w:multiLevelType w:val="hybridMultilevel"/>
    <w:lvl w:ilvl="0">
      <w:lvlJc w:val="left"/>
      <w:lvlText w:val="(%1)"/>
      <w:numFmt w:val="lowerRoman"/>
      <w:start w:val="2"/>
    </w:lvl>
  </w:abstractNum>
  <w:abstractNum w:abstractNumId="64">
    <w:nsid w:val="1DBABF00"/>
    <w:multiLevelType w:val="hybridMultilevel"/>
    <w:lvl w:ilvl="0">
      <w:lvlJc w:val="left"/>
      <w:lvlText w:val="(%1)"/>
      <w:numFmt w:val="lowerLetter"/>
      <w:start w:val="3"/>
    </w:lvl>
  </w:abstractNum>
  <w:abstractNum w:abstractNumId="65">
    <w:nsid w:val="4AD084E9"/>
    <w:multiLevelType w:val="hybridMultilevel"/>
    <w:lvl w:ilvl="0">
      <w:lvlJc w:val="left"/>
      <w:lvlText w:val="(%1)"/>
      <w:numFmt w:val="decimal"/>
      <w:start w:val="1"/>
    </w:lvl>
    <w:lvl w:ilvl="1">
      <w:lvlJc w:val="left"/>
      <w:lvlText w:val="☐"/>
      <w:numFmt w:val="bullet"/>
      <w:start w:val="1"/>
    </w:lvl>
  </w:abstractNum>
  <w:abstractNum w:abstractNumId="66">
    <w:nsid w:val="1F48EAA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2026-06-12T16:05:38Z</dcterms:created>
  <dcterms:modified xsi:type="dcterms:W3CDTF">2026-06-12T16:05:38Z</dcterms:modified>
</cp:coreProperties>
</file>