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9"/>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8"/>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ORBIMED ADVISORS LLC</w:t>
              </w:r>
            </w:hyperlink>
          </w:p>
        </w:tc>
        <w:tc>
          <w:tcPr>
            <w:tcW w:w="80" w:type="dxa"/>
            <w:vAlign w:val="bottom"/>
          </w:tcPr>
          <w:p>
            <w:pPr>
              <w:spacing w:after="0"/>
              <w:rPr>
                <w:sz w:val="9"/>
                <w:szCs w:val="9"/>
                <w:color w:val="auto"/>
              </w:rPr>
            </w:pPr>
          </w:p>
        </w:tc>
        <w:tc>
          <w:tcPr>
            <w:tcW w:w="3320" w:type="dxa"/>
            <w:vAlign w:val="bottom"/>
            <w:gridSpan w:val="10"/>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Enliven Therapeutics,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ELVN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8"/>
            <w:vMerge w:val="continue"/>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520" w:type="dxa"/>
            <w:vAlign w:val="bottom"/>
            <w:tcBorders>
              <w:bottom w:val="single" w:sz="8" w:color="0000EE"/>
            </w:tcBorders>
          </w:tcPr>
          <w:p>
            <w:pPr>
              <w:spacing w:after="0"/>
              <w:rPr>
                <w:sz w:val="6"/>
                <w:szCs w:val="6"/>
                <w:color w:val="auto"/>
              </w:rPr>
            </w:pPr>
          </w:p>
        </w:tc>
        <w:tc>
          <w:tcPr>
            <w:tcW w:w="280" w:type="dxa"/>
            <w:vAlign w:val="bottom"/>
            <w:tcBorders>
              <w:bottom w:val="single" w:sz="8" w:color="0000EE"/>
            </w:tcBorders>
          </w:tcPr>
          <w:p>
            <w:pPr>
              <w:spacing w:after="0"/>
              <w:rPr>
                <w:sz w:val="6"/>
                <w:szCs w:val="6"/>
                <w:color w:val="auto"/>
              </w:rPr>
            </w:pPr>
          </w:p>
        </w:tc>
        <w:tc>
          <w:tcPr>
            <w:tcW w:w="520" w:type="dxa"/>
            <w:vAlign w:val="bottom"/>
            <w:tcBorders>
              <w:bottom w:val="single" w:sz="8" w:color="0000EE"/>
            </w:tcBorders>
          </w:tcPr>
          <w:p>
            <w:pPr>
              <w:spacing w:after="0"/>
              <w:rPr>
                <w:sz w:val="6"/>
                <w:szCs w:val="6"/>
                <w:color w:val="auto"/>
              </w:rPr>
            </w:pPr>
          </w:p>
        </w:tc>
        <w:tc>
          <w:tcPr>
            <w:tcW w:w="240" w:type="dxa"/>
            <w:vAlign w:val="bottom"/>
            <w:tcBorders>
              <w:bottom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4"/>
            <w:vMerge w:val="continue"/>
          </w:tcPr>
          <w:p>
            <w:pPr>
              <w:spacing w:after="0"/>
              <w:rPr>
                <w:sz w:val="6"/>
                <w:szCs w:val="6"/>
                <w:color w:val="auto"/>
              </w:rPr>
            </w:pPr>
          </w:p>
        </w:tc>
        <w:tc>
          <w:tcPr>
            <w:tcW w:w="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20" w:type="dxa"/>
            <w:vAlign w:val="bottom"/>
            <w:gridSpan w:val="8"/>
            <w:vMerge w:val="continue"/>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gridSpan w:val="2"/>
            <w:vMerge w:val="restart"/>
          </w:tcPr>
          <w:p>
            <w:pPr>
              <w:ind w:left="380"/>
              <w:spacing w:after="0"/>
              <w:rPr>
                <w:sz w:val="20"/>
                <w:szCs w:val="20"/>
                <w:color w:val="auto"/>
              </w:rPr>
            </w:pPr>
            <w:r>
              <w:rPr>
                <w:rFonts w:ascii="Arial" w:cs="Arial" w:eastAsia="Arial" w:hAnsi="Arial"/>
                <w:sz w:val="13"/>
                <w:szCs w:val="13"/>
                <w:color w:val="auto"/>
              </w:rPr>
              <w:t>Director</w:t>
            </w:r>
          </w:p>
        </w:tc>
        <w:tc>
          <w:tcPr>
            <w:tcW w:w="420" w:type="dxa"/>
            <w:vAlign w:val="bottom"/>
          </w:tcPr>
          <w:p>
            <w:pPr>
              <w:spacing w:after="0"/>
              <w:rPr>
                <w:sz w:val="5"/>
                <w:szCs w:val="5"/>
                <w:color w:val="auto"/>
              </w:rPr>
            </w:pPr>
          </w:p>
        </w:tc>
        <w:tc>
          <w:tcPr>
            <w:tcW w:w="1260" w:type="dxa"/>
            <w:vAlign w:val="bottom"/>
            <w:gridSpan w:val="4"/>
            <w:vMerge w:val="restart"/>
          </w:tcPr>
          <w:p>
            <w:pPr>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12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1520" w:type="dxa"/>
            <w:vAlign w:val="bottom"/>
            <w:gridSpan w:val="2"/>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420" w:type="dxa"/>
            <w:vAlign w:val="bottom"/>
          </w:tcPr>
          <w:p>
            <w:pPr>
              <w:spacing w:after="0"/>
              <w:rPr>
                <w:sz w:val="9"/>
                <w:szCs w:val="9"/>
                <w:color w:val="auto"/>
              </w:rPr>
            </w:pPr>
          </w:p>
        </w:tc>
        <w:tc>
          <w:tcPr>
            <w:tcW w:w="1260" w:type="dxa"/>
            <w:vAlign w:val="bottom"/>
            <w:gridSpan w:val="4"/>
            <w:vMerge w:val="restart"/>
          </w:tcPr>
          <w:p>
            <w:pPr>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520" w:type="dxa"/>
            <w:vAlign w:val="bottom"/>
            <w:gridSpan w:val="2"/>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1520" w:type="dxa"/>
            <w:vAlign w:val="bottom"/>
            <w:gridSpan w:val="2"/>
            <w:vMerge w:val="continue"/>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880" w:type="dxa"/>
            <w:vAlign w:val="bottom"/>
            <w:gridSpan w:val="9"/>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gridSpan w:val="2"/>
          </w:tcPr>
          <w:p>
            <w:pPr>
              <w:ind w:left="380"/>
              <w:spacing w:after="0"/>
              <w:rPr>
                <w:sz w:val="20"/>
                <w:szCs w:val="20"/>
                <w:color w:val="auto"/>
              </w:rPr>
            </w:pPr>
            <w:r>
              <w:rPr>
                <w:rFonts w:ascii="Arial" w:cs="Arial" w:eastAsia="Arial" w:hAnsi="Arial"/>
                <w:sz w:val="13"/>
                <w:szCs w:val="13"/>
                <w:color w:val="auto"/>
              </w:rPr>
              <w:t>below)</w:t>
            </w:r>
          </w:p>
        </w:tc>
        <w:tc>
          <w:tcPr>
            <w:tcW w:w="420" w:type="dxa"/>
            <w:vAlign w:val="bottom"/>
          </w:tcPr>
          <w:p>
            <w:pPr>
              <w:spacing w:after="0"/>
              <w:rPr>
                <w:sz w:val="16"/>
                <w:szCs w:val="16"/>
                <w:color w:val="auto"/>
              </w:rPr>
            </w:pPr>
          </w:p>
        </w:tc>
        <w:tc>
          <w:tcPr>
            <w:tcW w:w="480" w:type="dxa"/>
            <w:vAlign w:val="bottom"/>
          </w:tcPr>
          <w:p>
            <w:pPr>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601 LEXINGTON AVENUE</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0000FF"/>
              </w:rPr>
              <w:t>06/22/2026</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54TH FLOOR</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20" w:type="dxa"/>
            <w:vAlign w:val="bottom"/>
            <w:gridSpan w:val="1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9"/>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gridSpan w:val="12"/>
            <w:vMerge w:val="continue"/>
          </w:tcPr>
          <w:p>
            <w:pPr>
              <w:spacing w:after="0"/>
              <w:rPr>
                <w:sz w:val="9"/>
                <w:szCs w:val="9"/>
                <w:color w:val="auto"/>
              </w:rPr>
            </w:pPr>
          </w:p>
        </w:tc>
        <w:tc>
          <w:tcPr>
            <w:tcW w:w="334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92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gridSpan w:val="3"/>
            <w:vMerge w:val="restart"/>
          </w:tcPr>
          <w:p>
            <w:pPr>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0" w:type="dxa"/>
            <w:vAlign w:val="bottom"/>
            <w:gridSpan w:val="7"/>
          </w:tcPr>
          <w:p>
            <w:pPr>
              <w:ind w:left="3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7"/>
                <w:szCs w:val="17"/>
                <w:color w:val="0000FF"/>
              </w:rPr>
              <w:t>NY</w:t>
            </w:r>
          </w:p>
        </w:tc>
        <w:tc>
          <w:tcPr>
            <w:tcW w:w="13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7"/>
                <w:szCs w:val="17"/>
                <w:color w:val="0000FF"/>
              </w:rPr>
              <w:t>10022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0" w:type="dxa"/>
            <w:vAlign w:val="bottom"/>
            <w:gridSpan w:val="7"/>
          </w:tcPr>
          <w:p>
            <w:pPr>
              <w:ind w:left="3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gridSpan w:val="2"/>
          </w:tcPr>
          <w:p>
            <w:pPr>
              <w:ind w:left="380"/>
              <w:spacing w:after="0"/>
              <w:rPr>
                <w:sz w:val="20"/>
                <w:szCs w:val="20"/>
                <w:color w:val="auto"/>
              </w:rPr>
            </w:pPr>
            <w:r>
              <w:rPr>
                <w:rFonts w:ascii="Arial" w:cs="Arial" w:eastAsia="Arial" w:hAnsi="Arial"/>
                <w:sz w:val="13"/>
                <w:szCs w:val="13"/>
                <w:color w:val="auto"/>
              </w:rPr>
              <w:t>Person</w:t>
            </w: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gridSpan w:val="5"/>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220" w:type="dxa"/>
            <w:vAlign w:val="bottom"/>
            <w:tcBorders>
              <w:bottom w:val="single" w:sz="8" w:color="2C2C2C"/>
            </w:tcBorders>
            <w:gridSpan w:val="3"/>
          </w:tcPr>
          <w:p>
            <w:pPr>
              <w:spacing w:after="0"/>
              <w:rPr>
                <w:sz w:val="10"/>
                <w:szCs w:val="10"/>
                <w:color w:val="auto"/>
              </w:rPr>
            </w:pPr>
          </w:p>
        </w:tc>
        <w:tc>
          <w:tcPr>
            <w:tcW w:w="1520" w:type="dxa"/>
            <w:vAlign w:val="bottom"/>
            <w:tcBorders>
              <w:bottom w:val="single" w:sz="8" w:color="2C2C2C"/>
            </w:tcBorders>
            <w:gridSpan w:val="2"/>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900" w:type="dxa"/>
            <w:vAlign w:val="bottom"/>
            <w:tcBorders>
              <w:top w:val="single" w:sz="8" w:color="2C2C2C"/>
            </w:tcBorders>
            <w:gridSpan w:val="22"/>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60" w:type="dxa"/>
            <w:vAlign w:val="bottom"/>
          </w:tcPr>
          <w:p>
            <w:pPr>
              <w:spacing w:after="0"/>
              <w:rPr>
                <w:sz w:val="15"/>
                <w:szCs w:val="15"/>
                <w:color w:val="auto"/>
              </w:rPr>
            </w:pP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200" w:type="dxa"/>
            <w:vAlign w:val="bottom"/>
            <w:gridSpan w:val="5"/>
          </w:tcPr>
          <w:p>
            <w:pPr>
              <w:ind w:left="16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160" w:type="dxa"/>
            <w:vAlign w:val="bottom"/>
            <w:gridSpan w:val="2"/>
          </w:tcPr>
          <w:p>
            <w:pPr>
              <w:ind w:left="3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1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200" w:type="dxa"/>
            <w:vAlign w:val="bottom"/>
            <w:gridSpan w:val="5"/>
          </w:tcPr>
          <w:p>
            <w:pPr>
              <w:ind w:left="1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20" w:type="dxa"/>
            <w:vAlign w:val="bottom"/>
            <w:gridSpan w:val="8"/>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2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 or</w:t>
            </w:r>
          </w:p>
        </w:tc>
        <w:tc>
          <w:tcPr>
            <w:tcW w:w="420" w:type="dxa"/>
            <w:vAlign w:val="bottom"/>
          </w:tcPr>
          <w:p>
            <w:pPr>
              <w:spacing w:after="0"/>
              <w:rPr>
                <w:sz w:val="11"/>
                <w:szCs w:val="11"/>
                <w:color w:val="auto"/>
              </w:rPr>
            </w:pPr>
          </w:p>
        </w:tc>
        <w:tc>
          <w:tcPr>
            <w:tcW w:w="12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5"/>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116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Indirect (I)</w:t>
            </w:r>
          </w:p>
        </w:tc>
        <w:tc>
          <w:tcPr>
            <w:tcW w:w="12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116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(Instr. 4)</w:t>
            </w:r>
          </w:p>
        </w:tc>
        <w:tc>
          <w:tcPr>
            <w:tcW w:w="12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6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4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ind w:left="40"/>
              <w:spacing w:after="0" w:line="86" w:lineRule="exact"/>
              <w:rPr>
                <w:sz w:val="20"/>
                <w:szCs w:val="20"/>
                <w:color w:val="auto"/>
              </w:rPr>
            </w:pPr>
            <w:r>
              <w:rPr>
                <w:rFonts w:ascii="Arial" w:cs="Arial" w:eastAsia="Arial" w:hAnsi="Arial"/>
                <w:sz w:val="8"/>
                <w:szCs w:val="8"/>
                <w:b w:val="1"/>
                <w:bCs w:val="1"/>
                <w:color w:val="auto"/>
              </w:rPr>
              <w:t>Reported</w:t>
            </w: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Transaction(s)</w:t>
            </w: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4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52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b w:val="1"/>
                <w:bCs w:val="1"/>
                <w:color w:val="auto"/>
              </w:rPr>
              <w:t>(Instr. 3 and 4)</w:t>
            </w:r>
          </w:p>
        </w:tc>
        <w:tc>
          <w:tcPr>
            <w:tcW w:w="4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06/22/2026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82"/>
              </w:rPr>
              <w:t>S</w:t>
            </w:r>
          </w:p>
        </w:tc>
        <w:tc>
          <w:tcPr>
            <w:tcW w:w="520" w:type="dxa"/>
            <w:vAlign w:val="bottom"/>
          </w:tcPr>
          <w:p>
            <w:pPr>
              <w:spacing w:after="0"/>
              <w:rPr>
                <w:sz w:val="21"/>
                <w:szCs w:val="21"/>
                <w:color w:val="auto"/>
              </w:rPr>
            </w:pP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24,846</w:t>
            </w:r>
          </w:p>
        </w:tc>
        <w:tc>
          <w:tcPr>
            <w:tcW w:w="4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45.38</w:t>
            </w:r>
          </w:p>
        </w:tc>
        <w:tc>
          <w:tcPr>
            <w:tcW w:w="154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7"/>
                <w:szCs w:val="17"/>
                <w:color w:val="0000FF"/>
              </w:rPr>
              <w:t>220,882</w:t>
            </w:r>
          </w:p>
        </w:tc>
        <w:tc>
          <w:tcPr>
            <w:tcW w:w="4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2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1540" w:type="dxa"/>
            <w:vAlign w:val="bottom"/>
            <w:gridSpan w:val="3"/>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2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1420" w:type="dxa"/>
            <w:vAlign w:val="bottom"/>
            <w:tcBorders>
              <w:top w:val="single" w:sz="8" w:color="2C2C2C"/>
            </w:tcBorders>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06/22/2026</w:t>
            </w: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w w:val="82"/>
              </w:rPr>
              <w:t>S</w:t>
            </w:r>
          </w:p>
        </w:tc>
        <w:tc>
          <w:tcPr>
            <w:tcW w:w="52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1,477</w:t>
            </w:r>
          </w:p>
        </w:tc>
        <w:tc>
          <w:tcPr>
            <w:tcW w:w="440" w:type="dxa"/>
            <w:vAlign w:val="bottom"/>
            <w:tcBorders>
              <w:top w:val="single" w:sz="8" w:color="2C2C2C"/>
            </w:tcBorders>
            <w:vMerge w:val="restart"/>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420" w:type="dxa"/>
            <w:vAlign w:val="bottom"/>
            <w:tcBorders>
              <w:top w:val="single" w:sz="8" w:color="2C2C2C"/>
            </w:tcBorders>
            <w:vMerge w:val="restart"/>
          </w:tcPr>
          <w:p>
            <w:pPr>
              <w:jc w:val="center"/>
              <w:ind w:left="89"/>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45</w:t>
            </w:r>
          </w:p>
        </w:tc>
        <w:tc>
          <w:tcPr>
            <w:tcW w:w="8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540" w:type="dxa"/>
            <w:vAlign w:val="bottom"/>
            <w:tcBorders>
              <w:top w:val="single" w:sz="8" w:color="2C2C2C"/>
            </w:tcBorders>
            <w:gridSpan w:val="3"/>
            <w:vMerge w:val="restart"/>
          </w:tcPr>
          <w:p>
            <w:pPr>
              <w:jc w:val="center"/>
              <w:ind w:right="360"/>
              <w:spacing w:after="0"/>
              <w:rPr>
                <w:sz w:val="20"/>
                <w:szCs w:val="20"/>
                <w:color w:val="auto"/>
              </w:rPr>
            </w:pPr>
            <w:r>
              <w:rPr>
                <w:rFonts w:ascii="Times New Roman" w:cs="Times New Roman" w:eastAsia="Times New Roman" w:hAnsi="Times New Roman"/>
                <w:sz w:val="17"/>
                <w:szCs w:val="17"/>
                <w:color w:val="0000FF"/>
              </w:rPr>
              <w:t>219,405</w:t>
            </w:r>
          </w:p>
        </w:tc>
        <w:tc>
          <w:tcPr>
            <w:tcW w:w="42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480" w:type="dxa"/>
            <w:vAlign w:val="bottom"/>
            <w:tcBorders>
              <w:top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2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gridSpan w:val="3"/>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2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1420" w:type="dxa"/>
            <w:vAlign w:val="bottom"/>
            <w:tcBorders>
              <w:top w:val="single" w:sz="8" w:color="2C2C2C"/>
            </w:tcBorders>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06/22/2026</w:t>
            </w: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w w:val="82"/>
              </w:rPr>
              <w:t>S</w:t>
            </w:r>
          </w:p>
        </w:tc>
        <w:tc>
          <w:tcPr>
            <w:tcW w:w="52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787,024</w:t>
            </w:r>
          </w:p>
        </w:tc>
        <w:tc>
          <w:tcPr>
            <w:tcW w:w="440" w:type="dxa"/>
            <w:vAlign w:val="bottom"/>
            <w:tcBorders>
              <w:top w:val="single" w:sz="8" w:color="2C2C2C"/>
            </w:tcBorders>
            <w:vMerge w:val="restart"/>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45.38</w:t>
            </w:r>
          </w:p>
        </w:tc>
        <w:tc>
          <w:tcPr>
            <w:tcW w:w="1540" w:type="dxa"/>
            <w:vAlign w:val="bottom"/>
            <w:tcBorders>
              <w:top w:val="single" w:sz="8" w:color="2C2C2C"/>
            </w:tcBorders>
            <w:gridSpan w:val="3"/>
            <w:vMerge w:val="restart"/>
          </w:tcPr>
          <w:p>
            <w:pPr>
              <w:jc w:val="center"/>
              <w:ind w:right="380"/>
              <w:spacing w:after="0"/>
              <w:rPr>
                <w:sz w:val="20"/>
                <w:szCs w:val="20"/>
                <w:color w:val="auto"/>
              </w:rPr>
            </w:pPr>
            <w:r>
              <w:rPr>
                <w:rFonts w:ascii="Times New Roman" w:cs="Times New Roman" w:eastAsia="Times New Roman" w:hAnsi="Times New Roman"/>
                <w:sz w:val="17"/>
                <w:szCs w:val="17"/>
                <w:color w:val="0000FF"/>
              </w:rPr>
              <w:t>6,601,878</w:t>
            </w:r>
          </w:p>
        </w:tc>
        <w:tc>
          <w:tcPr>
            <w:tcW w:w="42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480" w:type="dxa"/>
            <w:vAlign w:val="bottom"/>
            <w:tcBorders>
              <w:top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2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1540" w:type="dxa"/>
            <w:vAlign w:val="bottom"/>
            <w:gridSpan w:val="3"/>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2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1420" w:type="dxa"/>
            <w:vAlign w:val="bottom"/>
            <w:tcBorders>
              <w:top w:val="single" w:sz="8" w:color="2C2C2C"/>
            </w:tcBorders>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06/22/2026</w:t>
            </w: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w w:val="82"/>
              </w:rPr>
              <w:t>S</w:t>
            </w:r>
          </w:p>
        </w:tc>
        <w:tc>
          <w:tcPr>
            <w:tcW w:w="52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46,776</w:t>
            </w:r>
          </w:p>
        </w:tc>
        <w:tc>
          <w:tcPr>
            <w:tcW w:w="440" w:type="dxa"/>
            <w:vAlign w:val="bottom"/>
            <w:tcBorders>
              <w:top w:val="single" w:sz="8" w:color="2C2C2C"/>
            </w:tcBorders>
            <w:vMerge w:val="restart"/>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420" w:type="dxa"/>
            <w:vAlign w:val="bottom"/>
            <w:tcBorders>
              <w:top w:val="single" w:sz="8" w:color="2C2C2C"/>
            </w:tcBorders>
            <w:vMerge w:val="restart"/>
          </w:tcPr>
          <w:p>
            <w:pPr>
              <w:jc w:val="center"/>
              <w:ind w:left="89"/>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45</w:t>
            </w:r>
          </w:p>
        </w:tc>
        <w:tc>
          <w:tcPr>
            <w:tcW w:w="8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540" w:type="dxa"/>
            <w:vAlign w:val="bottom"/>
            <w:tcBorders>
              <w:top w:val="single" w:sz="8" w:color="2C2C2C"/>
            </w:tcBorders>
            <w:gridSpan w:val="3"/>
            <w:vMerge w:val="restart"/>
          </w:tcPr>
          <w:p>
            <w:pPr>
              <w:jc w:val="center"/>
              <w:ind w:right="380"/>
              <w:spacing w:after="0"/>
              <w:rPr>
                <w:sz w:val="20"/>
                <w:szCs w:val="20"/>
                <w:color w:val="auto"/>
              </w:rPr>
            </w:pPr>
            <w:r>
              <w:rPr>
                <w:rFonts w:ascii="Times New Roman" w:cs="Times New Roman" w:eastAsia="Times New Roman" w:hAnsi="Times New Roman"/>
                <w:sz w:val="17"/>
                <w:szCs w:val="17"/>
                <w:color w:val="0000FF"/>
              </w:rPr>
              <w:t>6,555,102</w:t>
            </w:r>
          </w:p>
        </w:tc>
        <w:tc>
          <w:tcPr>
            <w:tcW w:w="42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480" w:type="dxa"/>
            <w:vAlign w:val="bottom"/>
            <w:tcBorders>
              <w:top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2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gridSpan w:val="3"/>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2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12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980" w:type="dxa"/>
            <w:vAlign w:val="bottom"/>
            <w:gridSpan w:val="2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980" w:type="dxa"/>
            <w:vAlign w:val="bottom"/>
            <w:gridSpan w:val="19"/>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260" w:type="dxa"/>
            <w:vAlign w:val="bottom"/>
          </w:tcPr>
          <w:p>
            <w:pPr>
              <w:spacing w:after="0"/>
              <w:rPr>
                <w:sz w:val="15"/>
                <w:szCs w:val="15"/>
                <w:color w:val="auto"/>
              </w:rPr>
            </w:pP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9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40" w:type="dxa"/>
            <w:vAlign w:val="bottom"/>
          </w:tcPr>
          <w:p>
            <w:pPr>
              <w:spacing w:after="0"/>
              <w:rPr>
                <w:sz w:val="20"/>
                <w:szCs w:val="20"/>
                <w:color w:val="auto"/>
              </w:rPr>
            </w:pPr>
            <w:r>
              <w:rPr>
                <w:rFonts w:ascii="Arial" w:cs="Arial" w:eastAsia="Arial" w:hAnsi="Arial"/>
                <w:sz w:val="12"/>
                <w:szCs w:val="12"/>
                <w:b w:val="1"/>
                <w:bCs w:val="1"/>
                <w:color w:val="auto"/>
                <w:w w:val="98"/>
              </w:rPr>
              <w:t>9. Number of</w:t>
            </w:r>
          </w:p>
        </w:tc>
        <w:tc>
          <w:tcPr>
            <w:tcW w:w="4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26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2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3"/>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10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10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ORBIMED ADVISORS LLC</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60" w:type="dxa"/>
            <w:vAlign w:val="bottom"/>
          </w:tcPr>
          <w:p>
            <w:pPr>
              <w:spacing w:after="0"/>
              <w:rPr>
                <w:sz w:val="24"/>
                <w:szCs w:val="24"/>
                <w:color w:val="auto"/>
              </w:rPr>
            </w:pP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601 LEXINGTON AVENUE</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54TH FLOOR</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10022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260" w:type="dxa"/>
            <w:vAlign w:val="bottom"/>
          </w:tcPr>
          <w:p>
            <w:pPr>
              <w:spacing w:after="0"/>
              <w:rPr>
                <w:sz w:val="24"/>
                <w:szCs w:val="24"/>
                <w:color w:val="auto"/>
              </w:rPr>
            </w:pP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-3533140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OrbiMed Capital GP VII LLC</w:t>
        </w:r>
      </w:hyperlink>
    </w:p>
    <w:p>
      <w:pPr>
        <w:sectPr>
          <w:pgSz w:w="11900" w:h="16838" w:orient="portrait"/>
          <w:cols w:equalWidth="0" w:num="1">
            <w:col w:w="11080"/>
          </w:cols>
          <w:pgMar w:left="460" w:top="219" w:right="359" w:bottom="0" w:gutter="0" w:footer="0" w:header="0"/>
          <w:type w:val="continuous"/>
        </w:sectPr>
      </w:pPr>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t>601 LEXINGTON AVENUE, 54TH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2635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2635885"/>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OrbiMed Genesis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601 LEXINGTON AVENUE, 54TH FLOOR</w:t>
            </w: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Genesis Master Fund, L.P. ("Genesis"). OrbiMed Genesis GP LLC ("Genesis GP") is the general partner of Genesis. OrbiMed Advisors LLC ("OrbiMed Advisors"), a registered investment adviser under the Investment Advisers Act, is the managing member of Genesis GP. By virtue of such relationships, Genesis GP and OrbiMed Advisors may be deemed to have voting and investment power over the securities held by Genesis and may be deemed to have beneficial ownership over such securities. OrbiMed Advisors exercises voting and investment power through a management committee comprised of Carl L. Gordon, Sven H. Borho, and W. Carter Neild, each of whom disclaims beneficial ownership of the shares held by Genesis.</w:t>
      </w:r>
    </w:p>
    <w:p>
      <w:pPr>
        <w:spacing w:after="0" w:line="24" w:lineRule="exact"/>
        <w:rPr>
          <w:rFonts w:ascii="Times New Roman" w:cs="Times New Roman" w:eastAsia="Times New Roman" w:hAnsi="Times New Roman"/>
          <w:sz w:val="13"/>
          <w:szCs w:val="13"/>
          <w:color w:val="008000"/>
        </w:rPr>
      </w:pPr>
    </w:p>
    <w:p>
      <w:pPr>
        <w:ind w:left="20" w:right="4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Private Investments VII, LP ("OPI VII"). OrbiMed Capital GP VII LLC ("GP VII") is the general partner of OPI VII and OrbiMed Advisors is the managing member of GP VII. By virtue of such relationships, GP VII and OrbiMed Advisors may be deemed to have voting and investment power over the securities held by OPI VII and may be deemed to have beneficial ownership over such securities. OrbiMed Advisors exercises voting and investment power through a management committee comprised of Carl L. Gordon, Sven H. Borho, and W. Carter Neild, each of whom disclaims beneficial ownership of the shares held by OPI VII.</w:t>
      </w:r>
    </w:p>
    <w:p>
      <w:pPr>
        <w:spacing w:after="0" w:line="24" w:lineRule="exact"/>
        <w:rPr>
          <w:rFonts w:ascii="Times New Roman" w:cs="Times New Roman" w:eastAsia="Times New Roman" w:hAnsi="Times New Roman"/>
          <w:sz w:val="13"/>
          <w:szCs w:val="13"/>
          <w:color w:val="008000"/>
        </w:rPr>
      </w:pPr>
    </w:p>
    <w:p>
      <w:pPr>
        <w:ind w:left="20" w:right="20" w:firstLine="7"/>
        <w:spacing w:after="0" w:line="249"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report on Form 4 is filed by OrbiMed Advisors, GP VII, and Genesis GP. Each of the Reporting Persons disclaims beneficial ownership of the securities reported herein for purposes of Rule 16a 1(a) under the Securities Exchange Act of 1934, as amended (the "Exchange Act"), except to the extent of its pecuniary interest therein, if any. This report on Form 4 shall not be deemed an admission that any of the Reporting Persons is a beneficial owner of such securities for the purpose of Section 16 of the Exchange Act, or for any other purpose.</w:t>
      </w:r>
    </w:p>
    <w:p>
      <w:pPr>
        <w:ind w:left="6560"/>
        <w:spacing w:after="0" w:line="180" w:lineRule="auto"/>
        <w:rPr>
          <w:sz w:val="20"/>
          <w:szCs w:val="20"/>
          <w:color w:val="auto"/>
        </w:rPr>
      </w:pPr>
      <w:r>
        <w:rPr>
          <w:rFonts w:ascii="Times New Roman" w:cs="Times New Roman" w:eastAsia="Times New Roman" w:hAnsi="Times New Roman"/>
          <w:sz w:val="17"/>
          <w:szCs w:val="17"/>
          <w:color w:val="0000FF"/>
        </w:rPr>
        <w:t xml:space="preserve">/s/ Carl L. Gordon, Member of </w:t>
      </w:r>
      <w:r>
        <w:rPr>
          <w:rFonts w:ascii="Times New Roman" w:cs="Times New Roman" w:eastAsia="Times New Roman" w:hAnsi="Times New Roman"/>
          <w:sz w:val="33"/>
          <w:szCs w:val="33"/>
          <w:color w:val="0000FF"/>
          <w:vertAlign w:val="subscript"/>
        </w:rPr>
        <w:t>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-27305</wp:posOffset>
            </wp:positionV>
            <wp:extent cx="13531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OrbiMed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0629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062990"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Carl L. Gordon, Member of </w:t>
      </w:r>
      <w:r>
        <w:rPr>
          <w:rFonts w:ascii="Times New Roman" w:cs="Times New Roman" w:eastAsia="Times New Roman" w:hAnsi="Times New Roman"/>
          <w:sz w:val="32"/>
          <w:szCs w:val="32"/>
          <w:color w:val="0000FF"/>
          <w:vertAlign w:val="subscript"/>
        </w:rPr>
        <w:t>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531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OrbiMed Capital GP VII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3322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332230"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Carl L. Gordon, Member of </w:t>
      </w:r>
      <w:r>
        <w:rPr>
          <w:rFonts w:ascii="Times New Roman" w:cs="Times New Roman" w:eastAsia="Times New Roman" w:hAnsi="Times New Roman"/>
          <w:sz w:val="32"/>
          <w:szCs w:val="32"/>
          <w:color w:val="0000FF"/>
          <w:vertAlign w:val="subscript"/>
        </w:rPr>
        <w:t>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531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OrbiMed Genesis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1823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182370"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20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125"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13" Type="http://schemas.openxmlformats.org/officeDocument/2006/relationships/hyperlink" Target="http://www.sec.gov/cgi-bin/browse-edgar?action=getcompany&amp;CIK=0001055951" TargetMode="External"/><Relationship Id="rId14" Type="http://schemas.openxmlformats.org/officeDocument/2006/relationships/hyperlink" Target="http://www.sec.gov/cgi-bin/browse-edgar?action=getcompany&amp;CIK=0001672619" TargetMode="External"/><Relationship Id="rId16" Type="http://schemas.openxmlformats.org/officeDocument/2006/relationships/hyperlink" Target="http://www.sec.gov/cgi-bin/browse-edgar?action=getcompany&amp;CIK=0001760648" TargetMode="External"/><Relationship Id="rId18" Type="http://schemas.openxmlformats.org/officeDocument/2006/relationships/hyperlink" Target="http://www.sec.gov/cgi-bin/browse-edgar?action=getcompany&amp;CIK=00018087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2026-06-24T18:20:38Z</dcterms:created>
  <dcterms:modified xsi:type="dcterms:W3CDTF">2026-06-24T18:20:38Z</dcterms:modified>
</cp:coreProperties>
</file>