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332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Enliven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ELVN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restart"/>
          </w:tcPr>
          <w:p>
            <w:pPr>
              <w:ind w:left="38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52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9"/>
                <w:szCs w:val="9"/>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2"/>
            <w:vMerge w:val="continue"/>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3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7"/>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3"/>
                <w:szCs w:val="13"/>
                <w:color w:val="auto"/>
              </w:rPr>
              <w:t>Person</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5"/>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3"/>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5"/>
          </w:tcPr>
          <w:p>
            <w:pPr>
              <w:ind w:left="1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8"/>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1"/>
                <w:szCs w:val="2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9,086</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45.02</w:t>
            </w:r>
          </w:p>
        </w:tc>
        <w:tc>
          <w:tcPr>
            <w:tcW w:w="15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245,728</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272,322</w:t>
            </w:r>
          </w:p>
        </w:tc>
        <w:tc>
          <w:tcPr>
            <w:tcW w:w="44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45.02</w:t>
            </w:r>
          </w:p>
        </w:tc>
        <w:tc>
          <w:tcPr>
            <w:tcW w:w="1540" w:type="dxa"/>
            <w:vAlign w:val="bottom"/>
            <w:tcBorders>
              <w:top w:val="single" w:sz="8" w:color="2C2C2C"/>
            </w:tcBorders>
            <w:gridSpan w:val="3"/>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rPr>
              <w:t>7,388,902</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8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1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OrbiMed Capital GP VII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LEXINGTON AVENUE, 54TH FLOOR</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10022</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Genesis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-1751965</wp:posOffset>
            </wp:positionV>
            <wp:extent cx="2809240" cy="1831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83197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OrbiMed Advisors LLC ("OrbiMed Advisors"), a registered investment adviser under the Investment Advisers Act, is the managing member of Genesis GP. By virtue of such relationships, Genesis GP and OrbiMed Advisors may be deemed to have voting and investment power over the securities held by Genesis and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 LP ("OPI VII"). OrbiMed Capital GP VII LLC ("GP VII") is the general partner of OPI VII and OrbiMed Advisors is the managing member of GP VII. By virtue of such relationships, GP VII and OrbiMed Advisors may be deemed to have voting and investment power over the securities held by OPI VII and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w:t>
      </w:r>
    </w:p>
    <w:p>
      <w:pPr>
        <w:spacing w:after="0" w:line="24" w:lineRule="exact"/>
        <w:rPr>
          <w:rFonts w:ascii="Times New Roman" w:cs="Times New Roman" w:eastAsia="Times New Roman" w:hAnsi="Times New Roman"/>
          <w:sz w:val="13"/>
          <w:szCs w:val="13"/>
          <w:color w:val="008000"/>
        </w:rPr>
      </w:pPr>
    </w:p>
    <w:p>
      <w:pPr>
        <w:ind w:left="20" w:right="20" w:firstLine="7"/>
        <w:spacing w:after="0" w:line="249"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filed by OrbiMed Advisors, GP VII, and Genesis GP. Each of the Reporting Persons disclaims beneficial ownership of the securities reported herein for purposes of Rule 16a 1(a) under the Securities Exchange Act of 1934, as amended (the "Exchange Act"), except to the extent of its pecuniary interest therein, if any. This report on Form 4 shall not be deemed an admission that any of the Reporting Persons or Gupta is a beneficial owner of such securities for the purpose of Section 16 of the Exchange Act, or for any other purpose.</w:t>
      </w:r>
    </w:p>
    <w:p>
      <w:pPr>
        <w:ind w:left="6560"/>
        <w:spacing w:after="0" w:line="180"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3"/>
          <w:szCs w:val="33"/>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3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32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82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823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672619" TargetMode="External"/><Relationship Id="rId15" Type="http://schemas.openxmlformats.org/officeDocument/2006/relationships/hyperlink" Target="http://www.sec.gov/cgi-bin/browse-edgar?action=getcompany&amp;CIK=0001760648" TargetMode="External"/><Relationship Id="rId17"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2026-06-17T18:46:35Z</dcterms:created>
  <dcterms:modified xsi:type="dcterms:W3CDTF">2026-06-17T18:46:35Z</dcterms:modified>
</cp:coreProperties>
</file>