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Calibri" w:cs="Calibri" w:eastAsia="Calibri" w:hAnsi="Calibri"/>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1" w:lineRule="exact"/>
        <w:rPr>
          <w:sz w:val="24"/>
          <w:szCs w:val="24"/>
          <w:color w:val="auto"/>
        </w:rPr>
      </w:pPr>
    </w:p>
    <w:p>
      <w:pPr>
        <w:jc w:val="center"/>
        <w:ind w:right="-3"/>
        <w:spacing w:after="0"/>
        <w:rPr>
          <w:sz w:val="20"/>
          <w:szCs w:val="20"/>
          <w:color w:val="auto"/>
        </w:rPr>
      </w:pPr>
      <w:r>
        <w:rPr>
          <w:rFonts w:ascii="Calibri" w:cs="Calibri" w:eastAsia="Calibri" w:hAnsi="Calibri"/>
          <w:sz w:val="32"/>
          <w:szCs w:val="32"/>
          <w:b w:val="1"/>
          <w:bCs w:val="1"/>
          <w:color w:val="auto"/>
        </w:rPr>
        <w:t>SECURITIES AND EXCHANGE COMMISSION</w:t>
      </w:r>
    </w:p>
    <w:p>
      <w:pPr>
        <w:spacing w:after="0" w:line="14" w:lineRule="exact"/>
        <w:rPr>
          <w:sz w:val="24"/>
          <w:szCs w:val="24"/>
          <w:color w:val="auto"/>
        </w:rPr>
      </w:pPr>
    </w:p>
    <w:p>
      <w:pPr>
        <w:jc w:val="center"/>
        <w:ind w:right="-3"/>
        <w:spacing w:after="0"/>
        <w:rPr>
          <w:sz w:val="20"/>
          <w:szCs w:val="20"/>
          <w:color w:val="auto"/>
        </w:rPr>
      </w:pPr>
      <w:r>
        <w:rPr>
          <w:rFonts w:ascii="Calibri" w:cs="Calibri" w:eastAsia="Calibri" w:hAnsi="Calibri"/>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163830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9" w:lineRule="exact"/>
        <w:rPr>
          <w:sz w:val="24"/>
          <w:szCs w:val="24"/>
          <w:color w:val="auto"/>
        </w:rPr>
      </w:pPr>
    </w:p>
    <w:p>
      <w:pPr>
        <w:jc w:val="center"/>
        <w:ind w:right="-3"/>
        <w:spacing w:after="0"/>
        <w:rPr>
          <w:sz w:val="20"/>
          <w:szCs w:val="20"/>
          <w:color w:val="auto"/>
        </w:rPr>
      </w:pPr>
      <w:r>
        <w:rPr>
          <w:rFonts w:ascii="Calibri" w:cs="Calibri" w:eastAsia="Calibri" w:hAnsi="Calibri"/>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128905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7" w:lineRule="exact"/>
        <w:rPr>
          <w:sz w:val="24"/>
          <w:szCs w:val="24"/>
          <w:color w:val="auto"/>
        </w:rPr>
      </w:pPr>
    </w:p>
    <w:p>
      <w:pPr>
        <w:jc w:val="center"/>
        <w:ind w:right="-3"/>
        <w:spacing w:after="0"/>
        <w:rPr>
          <w:sz w:val="20"/>
          <w:szCs w:val="20"/>
          <w:color w:val="auto"/>
        </w:rPr>
      </w:pPr>
      <w:r>
        <w:rPr>
          <w:rFonts w:ascii="Calibri" w:cs="Calibri" w:eastAsia="Calibri" w:hAnsi="Calibri"/>
          <w:sz w:val="22"/>
          <w:szCs w:val="22"/>
          <w:b w:val="1"/>
          <w:bCs w:val="1"/>
          <w:color w:val="auto"/>
        </w:rPr>
        <w:t>CURRENT REPORT</w:t>
      </w:r>
    </w:p>
    <w:p>
      <w:pPr>
        <w:spacing w:after="0" w:line="1" w:lineRule="exact"/>
        <w:rPr>
          <w:sz w:val="24"/>
          <w:szCs w:val="24"/>
          <w:color w:val="auto"/>
        </w:rPr>
      </w:pPr>
    </w:p>
    <w:p>
      <w:pPr>
        <w:jc w:val="center"/>
        <w:ind w:right="-3"/>
        <w:spacing w:after="0"/>
        <w:rPr>
          <w:sz w:val="20"/>
          <w:szCs w:val="20"/>
          <w:color w:val="auto"/>
        </w:rPr>
      </w:pPr>
      <w:r>
        <w:rPr>
          <w:rFonts w:ascii="Calibri" w:cs="Calibri" w:eastAsia="Calibri" w:hAnsi="Calibri"/>
          <w:sz w:val="22"/>
          <w:szCs w:val="22"/>
          <w:b w:val="1"/>
          <w:bCs w:val="1"/>
          <w:color w:val="auto"/>
        </w:rPr>
        <w:t>Pursuant to Secton 13 or 15(d)</w:t>
      </w:r>
    </w:p>
    <w:p>
      <w:pPr>
        <w:spacing w:after="0" w:line="1" w:lineRule="exact"/>
        <w:rPr>
          <w:sz w:val="24"/>
          <w:szCs w:val="24"/>
          <w:color w:val="auto"/>
        </w:rPr>
      </w:pPr>
    </w:p>
    <w:p>
      <w:pPr>
        <w:jc w:val="center"/>
        <w:ind w:right="-3"/>
        <w:spacing w:after="0"/>
        <w:rPr>
          <w:sz w:val="20"/>
          <w:szCs w:val="20"/>
          <w:color w:val="auto"/>
        </w:rPr>
      </w:pPr>
      <w:r>
        <w:rPr>
          <w:rFonts w:ascii="Calibri" w:cs="Calibri" w:eastAsia="Calibri" w:hAnsi="Calibri"/>
          <w:sz w:val="22"/>
          <w:szCs w:val="22"/>
          <w:b w:val="1"/>
          <w:bCs w:val="1"/>
          <w:color w:val="auto"/>
        </w:rPr>
        <w:t>of the Securites Exchange Act of 1934</w:t>
      </w:r>
    </w:p>
    <w:p>
      <w:pPr>
        <w:spacing w:after="0" w:line="107" w:lineRule="exact"/>
        <w:rPr>
          <w:sz w:val="24"/>
          <w:szCs w:val="24"/>
          <w:color w:val="auto"/>
        </w:rPr>
      </w:pPr>
    </w:p>
    <w:p>
      <w:pPr>
        <w:jc w:val="center"/>
        <w:ind w:right="-3"/>
        <w:spacing w:after="0"/>
        <w:rPr>
          <w:sz w:val="20"/>
          <w:szCs w:val="20"/>
          <w:color w:val="auto"/>
        </w:rPr>
      </w:pPr>
      <w:r>
        <w:rPr>
          <w:rFonts w:ascii="Calibri" w:cs="Calibri" w:eastAsia="Calibri" w:hAnsi="Calibri"/>
          <w:sz w:val="22"/>
          <w:szCs w:val="22"/>
          <w:b w:val="1"/>
          <w:bCs w:val="1"/>
          <w:color w:val="auto"/>
        </w:rPr>
        <w:t>Date of Report (Date of earliest event reported): June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163830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8" w:lineRule="exact"/>
        <w:rPr>
          <w:sz w:val="24"/>
          <w:szCs w:val="24"/>
          <w:color w:val="auto"/>
        </w:rPr>
      </w:pPr>
    </w:p>
    <w:p>
      <w:pPr>
        <w:jc w:val="center"/>
        <w:ind w:right="-3"/>
        <w:spacing w:after="0"/>
        <w:rPr>
          <w:sz w:val="20"/>
          <w:szCs w:val="20"/>
          <w:color w:val="auto"/>
        </w:rPr>
      </w:pPr>
      <w:r>
        <w:rPr>
          <w:rFonts w:ascii="Calibri" w:cs="Calibri" w:eastAsia="Calibri" w:hAnsi="Calibri"/>
          <w:sz w:val="43"/>
          <w:szCs w:val="43"/>
          <w:b w:val="1"/>
          <w:bCs w:val="1"/>
          <w:color w:val="auto"/>
        </w:rPr>
        <w:t>Enliven Therapeutcs, Inc.</w:t>
      </w:r>
    </w:p>
    <w:p>
      <w:pPr>
        <w:spacing w:after="0" w:line="27" w:lineRule="exact"/>
        <w:rPr>
          <w:sz w:val="24"/>
          <w:szCs w:val="24"/>
          <w:color w:val="auto"/>
        </w:rPr>
      </w:pPr>
    </w:p>
    <w:p>
      <w:pPr>
        <w:jc w:val="center"/>
        <w:ind w:right="-3"/>
        <w:spacing w:after="0"/>
        <w:rPr>
          <w:sz w:val="20"/>
          <w:szCs w:val="20"/>
          <w:color w:val="auto"/>
        </w:rPr>
      </w:pPr>
      <w:r>
        <w:rPr>
          <w:rFonts w:ascii="Calibri" w:cs="Calibri" w:eastAsia="Calibri" w:hAnsi="Calibri"/>
          <w:sz w:val="18"/>
          <w:szCs w:val="18"/>
          <w:b w:val="1"/>
          <w:bCs w:val="1"/>
          <w:color w:val="auto"/>
        </w:rPr>
        <w:t>(Exact name of registrant as specifed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109220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tbl>
      <w:tblPr>
        <w:tblLayout w:type="fixed"/>
        <w:tblInd w:w="1084" w:type="dxa"/>
        <w:tblCellMar>
          <w:top w:w="0" w:type="dxa"/>
          <w:left w:w="0" w:type="dxa"/>
          <w:bottom w:w="0" w:type="dxa"/>
          <w:right w:w="0" w:type="dxa"/>
        </w:tblCellMar>
      </w:tblPr>
      <w:tr>
        <w:trPr>
          <w:trHeight w:val="220"/>
        </w:trPr>
        <w:tc>
          <w:tcPr>
            <w:tcW w:w="2860" w:type="dxa"/>
            <w:vAlign w:val="bottom"/>
          </w:tcPr>
          <w:p>
            <w:pPr>
              <w:jc w:val="center"/>
              <w:ind w:right="1202"/>
              <w:spacing w:after="0"/>
              <w:rPr>
                <w:sz w:val="20"/>
                <w:szCs w:val="20"/>
                <w:color w:val="auto"/>
              </w:rPr>
            </w:pPr>
            <w:r>
              <w:rPr>
                <w:rFonts w:ascii="Calibri" w:cs="Calibri" w:eastAsia="Calibri" w:hAnsi="Calibri"/>
                <w:sz w:val="18"/>
                <w:szCs w:val="18"/>
                <w:b w:val="1"/>
                <w:bCs w:val="1"/>
                <w:color w:val="auto"/>
                <w:w w:val="97"/>
              </w:rPr>
              <w:t>Delaware</w:t>
            </w:r>
          </w:p>
        </w:tc>
        <w:tc>
          <w:tcPr>
            <w:tcW w:w="3420" w:type="dxa"/>
            <w:vAlign w:val="bottom"/>
          </w:tcPr>
          <w:p>
            <w:pPr>
              <w:ind w:left="1300"/>
              <w:spacing w:after="0"/>
              <w:rPr>
                <w:sz w:val="20"/>
                <w:szCs w:val="20"/>
                <w:color w:val="auto"/>
              </w:rPr>
            </w:pPr>
            <w:r>
              <w:rPr>
                <w:rFonts w:ascii="Calibri" w:cs="Calibri" w:eastAsia="Calibri" w:hAnsi="Calibri"/>
                <w:sz w:val="18"/>
                <w:szCs w:val="18"/>
                <w:b w:val="1"/>
                <w:bCs w:val="1"/>
                <w:color w:val="auto"/>
              </w:rPr>
              <w:t>001-39247</w:t>
            </w:r>
          </w:p>
        </w:tc>
        <w:tc>
          <w:tcPr>
            <w:tcW w:w="2440" w:type="dxa"/>
            <w:vAlign w:val="bottom"/>
          </w:tcPr>
          <w:p>
            <w:pPr>
              <w:jc w:val="center"/>
              <w:ind w:left="1262"/>
              <w:spacing w:after="0"/>
              <w:rPr>
                <w:sz w:val="20"/>
                <w:szCs w:val="20"/>
                <w:color w:val="auto"/>
              </w:rPr>
            </w:pPr>
            <w:r>
              <w:rPr>
                <w:rFonts w:ascii="Calibri" w:cs="Calibri" w:eastAsia="Calibri" w:hAnsi="Calibri"/>
                <w:sz w:val="18"/>
                <w:szCs w:val="18"/>
                <w:b w:val="1"/>
                <w:bCs w:val="1"/>
                <w:color w:val="auto"/>
                <w:w w:val="98"/>
              </w:rPr>
              <w:t>81-1523849</w:t>
            </w:r>
          </w:p>
        </w:tc>
      </w:tr>
      <w:tr>
        <w:trPr>
          <w:trHeight w:val="179"/>
        </w:trPr>
        <w:tc>
          <w:tcPr>
            <w:tcW w:w="2860" w:type="dxa"/>
            <w:vAlign w:val="bottom"/>
          </w:tcPr>
          <w:p>
            <w:pPr>
              <w:jc w:val="center"/>
              <w:ind w:right="1202"/>
              <w:spacing w:after="0"/>
              <w:rPr>
                <w:sz w:val="20"/>
                <w:szCs w:val="20"/>
                <w:color w:val="auto"/>
              </w:rPr>
            </w:pPr>
            <w:r>
              <w:rPr>
                <w:rFonts w:ascii="Calibri" w:cs="Calibri" w:eastAsia="Calibri" w:hAnsi="Calibri"/>
                <w:sz w:val="14"/>
                <w:szCs w:val="14"/>
                <w:b w:val="1"/>
                <w:bCs w:val="1"/>
                <w:color w:val="auto"/>
              </w:rPr>
              <w:t>(State or other jurisdicton</w:t>
            </w:r>
          </w:p>
        </w:tc>
        <w:tc>
          <w:tcPr>
            <w:tcW w:w="3420" w:type="dxa"/>
            <w:vAlign w:val="bottom"/>
          </w:tcPr>
          <w:p>
            <w:pPr>
              <w:ind w:left="1300"/>
              <w:spacing w:after="0"/>
              <w:rPr>
                <w:sz w:val="20"/>
                <w:szCs w:val="20"/>
                <w:color w:val="auto"/>
              </w:rPr>
            </w:pPr>
            <w:r>
              <w:rPr>
                <w:rFonts w:ascii="Calibri" w:cs="Calibri" w:eastAsia="Calibri" w:hAnsi="Calibri"/>
                <w:sz w:val="14"/>
                <w:szCs w:val="14"/>
                <w:b w:val="1"/>
                <w:bCs w:val="1"/>
                <w:color w:val="auto"/>
              </w:rPr>
              <w:t>(Commission</w:t>
            </w:r>
          </w:p>
        </w:tc>
        <w:tc>
          <w:tcPr>
            <w:tcW w:w="2440" w:type="dxa"/>
            <w:vAlign w:val="bottom"/>
          </w:tcPr>
          <w:p>
            <w:pPr>
              <w:jc w:val="center"/>
              <w:ind w:left="1262"/>
              <w:spacing w:after="0"/>
              <w:rPr>
                <w:sz w:val="20"/>
                <w:szCs w:val="20"/>
                <w:color w:val="auto"/>
              </w:rPr>
            </w:pPr>
            <w:r>
              <w:rPr>
                <w:rFonts w:ascii="Calibri" w:cs="Calibri" w:eastAsia="Calibri" w:hAnsi="Calibri"/>
                <w:sz w:val="14"/>
                <w:szCs w:val="14"/>
                <w:b w:val="1"/>
                <w:bCs w:val="1"/>
                <w:color w:val="auto"/>
              </w:rPr>
              <w:t>(IRS Employer</w:t>
            </w:r>
          </w:p>
        </w:tc>
      </w:tr>
      <w:tr>
        <w:trPr>
          <w:trHeight w:val="175"/>
        </w:trPr>
        <w:tc>
          <w:tcPr>
            <w:tcW w:w="2860" w:type="dxa"/>
            <w:vAlign w:val="bottom"/>
          </w:tcPr>
          <w:p>
            <w:pPr>
              <w:jc w:val="center"/>
              <w:ind w:right="1202"/>
              <w:spacing w:after="0"/>
              <w:rPr>
                <w:sz w:val="20"/>
                <w:szCs w:val="20"/>
                <w:color w:val="auto"/>
              </w:rPr>
            </w:pPr>
            <w:r>
              <w:rPr>
                <w:rFonts w:ascii="Calibri" w:cs="Calibri" w:eastAsia="Calibri" w:hAnsi="Calibri"/>
                <w:sz w:val="14"/>
                <w:szCs w:val="14"/>
                <w:b w:val="1"/>
                <w:bCs w:val="1"/>
                <w:color w:val="auto"/>
              </w:rPr>
              <w:t>of incorporaton)</w:t>
            </w:r>
          </w:p>
        </w:tc>
        <w:tc>
          <w:tcPr>
            <w:tcW w:w="3420" w:type="dxa"/>
            <w:vAlign w:val="bottom"/>
          </w:tcPr>
          <w:p>
            <w:pPr>
              <w:ind w:left="1300"/>
              <w:spacing w:after="0"/>
              <w:rPr>
                <w:sz w:val="20"/>
                <w:szCs w:val="20"/>
                <w:color w:val="auto"/>
              </w:rPr>
            </w:pPr>
            <w:r>
              <w:rPr>
                <w:rFonts w:ascii="Calibri" w:cs="Calibri" w:eastAsia="Calibri" w:hAnsi="Calibri"/>
                <w:sz w:val="14"/>
                <w:szCs w:val="14"/>
                <w:b w:val="1"/>
                <w:bCs w:val="1"/>
                <w:color w:val="auto"/>
              </w:rPr>
              <w:t>File Number)</w:t>
            </w:r>
          </w:p>
        </w:tc>
        <w:tc>
          <w:tcPr>
            <w:tcW w:w="2440" w:type="dxa"/>
            <w:vAlign w:val="bottom"/>
          </w:tcPr>
          <w:p>
            <w:pPr>
              <w:jc w:val="center"/>
              <w:ind w:left="1262"/>
              <w:spacing w:after="0"/>
              <w:rPr>
                <w:sz w:val="20"/>
                <w:szCs w:val="20"/>
                <w:color w:val="auto"/>
              </w:rPr>
            </w:pPr>
            <w:r>
              <w:rPr>
                <w:rFonts w:ascii="Calibri" w:cs="Calibri" w:eastAsia="Calibri" w:hAnsi="Calibri"/>
                <w:sz w:val="14"/>
                <w:szCs w:val="14"/>
                <w:b w:val="1"/>
                <w:bCs w:val="1"/>
                <w:color w:val="auto"/>
              </w:rPr>
              <w:t>Identfcaton No.)</w:t>
            </w:r>
          </w:p>
        </w:tc>
      </w:tr>
    </w:tbl>
    <w:p>
      <w:pPr>
        <w:spacing w:after="0" w:line="128" w:lineRule="exact"/>
        <w:rPr>
          <w:sz w:val="24"/>
          <w:szCs w:val="24"/>
          <w:color w:val="auto"/>
        </w:rPr>
      </w:pPr>
    </w:p>
    <w:tbl>
      <w:tblPr>
        <w:tblLayout w:type="fixed"/>
        <w:tblInd w:w="1624" w:type="dxa"/>
        <w:tblCellMar>
          <w:top w:w="0" w:type="dxa"/>
          <w:left w:w="0" w:type="dxa"/>
          <w:bottom w:w="0" w:type="dxa"/>
          <w:right w:w="0" w:type="dxa"/>
        </w:tblCellMar>
      </w:tblPr>
      <w:tr>
        <w:trPr>
          <w:trHeight w:val="220"/>
        </w:trPr>
        <w:tc>
          <w:tcPr>
            <w:tcW w:w="4360" w:type="dxa"/>
            <w:vAlign w:val="bottom"/>
          </w:tcPr>
          <w:p>
            <w:pPr>
              <w:jc w:val="center"/>
              <w:ind w:right="1956"/>
              <w:spacing w:after="0"/>
              <w:rPr>
                <w:sz w:val="20"/>
                <w:szCs w:val="20"/>
                <w:color w:val="auto"/>
              </w:rPr>
            </w:pPr>
            <w:r>
              <w:rPr>
                <w:rFonts w:ascii="Calibri" w:cs="Calibri" w:eastAsia="Calibri" w:hAnsi="Calibri"/>
                <w:sz w:val="18"/>
                <w:szCs w:val="18"/>
                <w:b w:val="1"/>
                <w:bCs w:val="1"/>
                <w:color w:val="auto"/>
                <w:w w:val="96"/>
              </w:rPr>
              <w:t>205 Park Road</w:t>
            </w:r>
          </w:p>
        </w:tc>
        <w:tc>
          <w:tcPr>
            <w:tcW w:w="2660" w:type="dxa"/>
            <w:vAlign w:val="bottom"/>
          </w:tcPr>
          <w:p>
            <w:pPr>
              <w:spacing w:after="0"/>
              <w:rPr>
                <w:sz w:val="19"/>
                <w:szCs w:val="19"/>
                <w:color w:val="auto"/>
              </w:rPr>
            </w:pPr>
          </w:p>
        </w:tc>
      </w:tr>
      <w:tr>
        <w:trPr>
          <w:trHeight w:val="229"/>
        </w:trPr>
        <w:tc>
          <w:tcPr>
            <w:tcW w:w="4360" w:type="dxa"/>
            <w:vAlign w:val="bottom"/>
          </w:tcPr>
          <w:p>
            <w:pPr>
              <w:jc w:val="center"/>
              <w:ind w:right="1976"/>
              <w:spacing w:after="0" w:line="216" w:lineRule="exact"/>
              <w:rPr>
                <w:sz w:val="20"/>
                <w:szCs w:val="20"/>
                <w:color w:val="auto"/>
              </w:rPr>
            </w:pPr>
            <w:r>
              <w:rPr>
                <w:rFonts w:ascii="Calibri" w:cs="Calibri" w:eastAsia="Calibri" w:hAnsi="Calibri"/>
                <w:sz w:val="18"/>
                <w:szCs w:val="18"/>
                <w:b w:val="1"/>
                <w:bCs w:val="1"/>
                <w:color w:val="auto"/>
                <w:w w:val="97"/>
              </w:rPr>
              <w:t>Burlingame, California</w:t>
            </w:r>
          </w:p>
        </w:tc>
        <w:tc>
          <w:tcPr>
            <w:tcW w:w="2660" w:type="dxa"/>
            <w:vAlign w:val="bottom"/>
          </w:tcPr>
          <w:p>
            <w:pPr>
              <w:jc w:val="right"/>
              <w:spacing w:after="0"/>
              <w:rPr>
                <w:sz w:val="20"/>
                <w:szCs w:val="20"/>
                <w:color w:val="auto"/>
              </w:rPr>
            </w:pPr>
            <w:r>
              <w:rPr>
                <w:rFonts w:ascii="Calibri" w:cs="Calibri" w:eastAsia="Calibri" w:hAnsi="Calibri"/>
                <w:sz w:val="18"/>
                <w:szCs w:val="18"/>
                <w:b w:val="1"/>
                <w:bCs w:val="1"/>
                <w:color w:val="auto"/>
              </w:rPr>
              <w:t>94010</w:t>
            </w:r>
          </w:p>
        </w:tc>
      </w:tr>
      <w:tr>
        <w:trPr>
          <w:trHeight w:val="179"/>
        </w:trPr>
        <w:tc>
          <w:tcPr>
            <w:tcW w:w="4360" w:type="dxa"/>
            <w:vAlign w:val="bottom"/>
          </w:tcPr>
          <w:p>
            <w:pPr>
              <w:jc w:val="center"/>
              <w:ind w:right="1976"/>
              <w:spacing w:after="0"/>
              <w:rPr>
                <w:sz w:val="20"/>
                <w:szCs w:val="20"/>
                <w:color w:val="auto"/>
              </w:rPr>
            </w:pPr>
            <w:r>
              <w:rPr>
                <w:rFonts w:ascii="Calibri" w:cs="Calibri" w:eastAsia="Calibri" w:hAnsi="Calibri"/>
                <w:sz w:val="14"/>
                <w:szCs w:val="14"/>
                <w:b w:val="1"/>
                <w:bCs w:val="1"/>
                <w:color w:val="auto"/>
              </w:rPr>
              <w:t>(Address of principal executve ofces)</w:t>
            </w:r>
          </w:p>
        </w:tc>
        <w:tc>
          <w:tcPr>
            <w:tcW w:w="2660" w:type="dxa"/>
            <w:vAlign w:val="bottom"/>
          </w:tcPr>
          <w:p>
            <w:pPr>
              <w:jc w:val="center"/>
              <w:ind w:left="1979"/>
              <w:spacing w:after="0"/>
              <w:rPr>
                <w:sz w:val="20"/>
                <w:szCs w:val="20"/>
                <w:color w:val="auto"/>
              </w:rPr>
            </w:pPr>
            <w:r>
              <w:rPr>
                <w:rFonts w:ascii="Calibri" w:cs="Calibri" w:eastAsia="Calibri" w:hAnsi="Calibri"/>
                <w:sz w:val="14"/>
                <w:szCs w:val="14"/>
                <w:b w:val="1"/>
                <w:bCs w:val="1"/>
                <w:color w:val="auto"/>
              </w:rPr>
              <w:t>(Zip Code)</w:t>
            </w:r>
          </w:p>
        </w:tc>
      </w:tr>
    </w:tbl>
    <w:p>
      <w:pPr>
        <w:spacing w:after="0" w:line="101" w:lineRule="exact"/>
        <w:rPr>
          <w:sz w:val="24"/>
          <w:szCs w:val="24"/>
          <w:color w:val="auto"/>
        </w:rPr>
      </w:pPr>
    </w:p>
    <w:p>
      <w:pPr>
        <w:jc w:val="center"/>
        <w:ind w:right="-3"/>
        <w:spacing w:after="0"/>
        <w:rPr>
          <w:sz w:val="20"/>
          <w:szCs w:val="20"/>
          <w:color w:val="auto"/>
        </w:rPr>
      </w:pPr>
      <w:r>
        <w:rPr>
          <w:rFonts w:ascii="Calibri" w:cs="Calibri" w:eastAsia="Calibri" w:hAnsi="Calibri"/>
          <w:sz w:val="18"/>
          <w:szCs w:val="18"/>
          <w:b w:val="1"/>
          <w:bCs w:val="1"/>
          <w:color w:val="auto"/>
        </w:rPr>
        <w:t>Registrant’s telephone number, including area code: 650-547-5814</w:t>
      </w:r>
    </w:p>
    <w:p>
      <w:pPr>
        <w:spacing w:after="0" w:line="104" w:lineRule="exact"/>
        <w:rPr>
          <w:sz w:val="24"/>
          <w:szCs w:val="24"/>
          <w:color w:val="auto"/>
        </w:rPr>
      </w:pPr>
    </w:p>
    <w:p>
      <w:pPr>
        <w:jc w:val="center"/>
        <w:ind w:right="-3"/>
        <w:spacing w:after="0"/>
        <w:rPr>
          <w:sz w:val="20"/>
          <w:szCs w:val="20"/>
          <w:color w:val="auto"/>
        </w:rPr>
      </w:pPr>
      <w:r>
        <w:rPr>
          <w:rFonts w:ascii="Calibri" w:cs="Calibri" w:eastAsia="Calibri" w:hAnsi="Calibri"/>
          <w:sz w:val="18"/>
          <w:szCs w:val="18"/>
          <w:b w:val="1"/>
          <w:bCs w:val="1"/>
          <w:color w:val="auto"/>
        </w:rPr>
        <w:t>Not Applicable</w:t>
      </w:r>
    </w:p>
    <w:p>
      <w:pPr>
        <w:spacing w:after="0" w:line="8" w:lineRule="exact"/>
        <w:rPr>
          <w:sz w:val="24"/>
          <w:szCs w:val="24"/>
          <w:color w:val="auto"/>
        </w:rPr>
      </w:pPr>
    </w:p>
    <w:p>
      <w:pPr>
        <w:jc w:val="center"/>
        <w:ind w:right="-3"/>
        <w:spacing w:after="0"/>
        <w:rPr>
          <w:sz w:val="20"/>
          <w:szCs w:val="20"/>
          <w:color w:val="auto"/>
        </w:rPr>
      </w:pPr>
      <w:r>
        <w:rPr>
          <w:rFonts w:ascii="Calibri" w:cs="Calibri" w:eastAsia="Calibri" w:hAnsi="Calibri"/>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158115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left="4" w:right="40"/>
        <w:spacing w:after="0" w:line="235" w:lineRule="auto"/>
        <w:rPr>
          <w:sz w:val="20"/>
          <w:szCs w:val="20"/>
          <w:color w:val="auto"/>
        </w:rPr>
      </w:pPr>
      <w:r>
        <w:rPr>
          <w:rFonts w:ascii="Calibri" w:cs="Calibri" w:eastAsia="Calibri" w:hAnsi="Calibri"/>
          <w:sz w:val="18"/>
          <w:szCs w:val="18"/>
          <w:color w:val="auto"/>
        </w:rPr>
        <w:t>Check the appropriate box below if the Form 8-K fling is intended to simultaneously satsfy the fling obligaton of the registrant under any of the following provisions (</w:t>
      </w:r>
      <w:r>
        <w:rPr>
          <w:rFonts w:ascii="Calibri" w:cs="Calibri" w:eastAsia="Calibri" w:hAnsi="Calibri"/>
          <w:sz w:val="18"/>
          <w:szCs w:val="18"/>
          <w:u w:val="single" w:color="auto"/>
          <w:color w:val="auto"/>
        </w:rPr>
        <w:t>see</w:t>
      </w:r>
      <w:r>
        <w:rPr>
          <w:rFonts w:ascii="Calibri" w:cs="Calibri" w:eastAsia="Calibri" w:hAnsi="Calibri"/>
          <w:sz w:val="18"/>
          <w:szCs w:val="18"/>
          <w:color w:val="auto"/>
        </w:rPr>
        <w:t xml:space="preserve"> General Instructon A.2. below):</w:t>
      </w:r>
    </w:p>
    <w:p>
      <w:pPr>
        <w:spacing w:after="0" w:line="78"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Writen communicatons pursuant to Rule 425 under the Securites Act (17 CFR 230.425)</w:t>
      </w:r>
    </w:p>
    <w:p>
      <w:pPr>
        <w:spacing w:after="0" w:line="7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Solicitng material pursuant to Rule 14a-12 under the Exchange Act (17 CFR 240.14a-12)</w:t>
      </w:r>
    </w:p>
    <w:p>
      <w:pPr>
        <w:spacing w:after="0" w:line="7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Pre-commencement communicatons pursuant to Rule 14d-2(b) under the Exchange Act (17 CFR 240.14d-2(b))</w:t>
      </w:r>
    </w:p>
    <w:p>
      <w:pPr>
        <w:spacing w:after="0" w:line="7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Pre-commencement communicatons pursuant to Rule 13e-4(c) under the Exchange Act (17 CFR 240.13e-4(c))</w:t>
      </w:r>
    </w:p>
    <w:p>
      <w:pPr>
        <w:spacing w:after="0" w:line="104" w:lineRule="exact"/>
        <w:rPr>
          <w:rFonts w:ascii="MS PGothic" w:cs="MS PGothic" w:eastAsia="MS PGothic" w:hAnsi="MS PGothic"/>
          <w:sz w:val="18"/>
          <w:szCs w:val="18"/>
          <w:color w:val="auto"/>
        </w:rPr>
      </w:pPr>
    </w:p>
    <w:p>
      <w:pPr>
        <w:ind w:left="3424"/>
        <w:spacing w:after="0"/>
        <w:rPr>
          <w:rFonts w:ascii="MS PGothic" w:cs="MS PGothic" w:eastAsia="MS PGothic" w:hAnsi="MS PGothic"/>
          <w:sz w:val="18"/>
          <w:szCs w:val="18"/>
          <w:color w:val="auto"/>
        </w:rPr>
      </w:pPr>
      <w:r>
        <w:rPr>
          <w:rFonts w:ascii="Calibri" w:cs="Calibri" w:eastAsia="Calibri" w:hAnsi="Calibri"/>
          <w:sz w:val="18"/>
          <w:szCs w:val="18"/>
          <w:b w:val="1"/>
          <w:bCs w:val="1"/>
          <w:color w:val="auto"/>
        </w:rPr>
        <w:t>Securites registered pursuant to Secton 12(b) of the Act:</w:t>
      </w:r>
    </w:p>
    <w:p>
      <w:pPr>
        <w:spacing w:after="0" w:line="130" w:lineRule="exact"/>
        <w:rPr>
          <w:sz w:val="24"/>
          <w:szCs w:val="24"/>
          <w:color w:val="auto"/>
        </w:rPr>
      </w:pPr>
    </w:p>
    <w:tbl>
      <w:tblPr>
        <w:tblLayout w:type="fixed"/>
        <w:tblInd w:w="4"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gridSpan w:val="2"/>
          </w:tcPr>
          <w:p>
            <w:pPr>
              <w:jc w:val="center"/>
              <w:ind w:right="100"/>
              <w:spacing w:after="0"/>
              <w:rPr>
                <w:sz w:val="20"/>
                <w:szCs w:val="20"/>
                <w:color w:val="auto"/>
              </w:rPr>
            </w:pPr>
            <w:r>
              <w:rPr>
                <w:rFonts w:ascii="Calibri" w:cs="Calibri" w:eastAsia="Calibri" w:hAnsi="Calibri"/>
                <w:sz w:val="14"/>
                <w:szCs w:val="14"/>
                <w:b w:val="1"/>
                <w:bCs w:val="1"/>
                <w:color w:val="auto"/>
              </w:rPr>
              <w:t>Trading</w:t>
            </w:r>
          </w:p>
        </w:tc>
        <w:tc>
          <w:tcPr>
            <w:tcW w:w="3540" w:type="dxa"/>
            <w:vAlign w:val="bottom"/>
          </w:tcPr>
          <w:p>
            <w:pPr>
              <w:jc w:val="center"/>
              <w:spacing w:after="0"/>
              <w:rPr>
                <w:sz w:val="20"/>
                <w:szCs w:val="20"/>
                <w:color w:val="auto"/>
              </w:rPr>
            </w:pPr>
            <w:r>
              <w:rPr>
                <w:rFonts w:ascii="Calibri" w:cs="Calibri" w:eastAsia="Calibri" w:hAnsi="Calibri"/>
                <w:sz w:val="14"/>
                <w:szCs w:val="14"/>
                <w:b w:val="1"/>
                <w:bCs w:val="1"/>
                <w:color w:val="auto"/>
              </w:rPr>
              <w:t>Name of each exchange</w:t>
            </w:r>
          </w:p>
        </w:tc>
        <w:tc>
          <w:tcPr>
            <w:tcW w:w="0" w:type="dxa"/>
            <w:vAlign w:val="bottom"/>
          </w:tcPr>
          <w:p>
            <w:pPr>
              <w:spacing w:after="0"/>
              <w:rPr>
                <w:sz w:val="1"/>
                <w:szCs w:val="1"/>
                <w:color w:val="auto"/>
              </w:rPr>
            </w:pPr>
          </w:p>
        </w:tc>
      </w:tr>
      <w:tr>
        <w:trPr>
          <w:trHeight w:val="175"/>
        </w:trPr>
        <w:tc>
          <w:tcPr>
            <w:tcW w:w="3860" w:type="dxa"/>
            <w:vAlign w:val="bottom"/>
            <w:gridSpan w:val="2"/>
          </w:tcPr>
          <w:p>
            <w:pPr>
              <w:jc w:val="center"/>
              <w:ind w:right="140"/>
              <w:spacing w:after="0"/>
              <w:rPr>
                <w:sz w:val="20"/>
                <w:szCs w:val="20"/>
                <w:color w:val="auto"/>
              </w:rPr>
            </w:pPr>
            <w:r>
              <w:rPr>
                <w:rFonts w:ascii="Calibri" w:cs="Calibri" w:eastAsia="Calibri" w:hAnsi="Calibri"/>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Calibri" w:cs="Calibri" w:eastAsia="Calibri" w:hAnsi="Calibri"/>
                <w:sz w:val="14"/>
                <w:szCs w:val="14"/>
                <w:b w:val="1"/>
                <w:bCs w:val="1"/>
                <w:color w:val="auto"/>
              </w:rPr>
              <w:t>Symbol(s)</w:t>
            </w:r>
          </w:p>
        </w:tc>
        <w:tc>
          <w:tcPr>
            <w:tcW w:w="3540" w:type="dxa"/>
            <w:vAlign w:val="bottom"/>
          </w:tcPr>
          <w:p>
            <w:pPr>
              <w:jc w:val="center"/>
              <w:spacing w:after="0"/>
              <w:rPr>
                <w:sz w:val="20"/>
                <w:szCs w:val="20"/>
                <w:color w:val="auto"/>
              </w:rPr>
            </w:pPr>
            <w:r>
              <w:rPr>
                <w:rFonts w:ascii="Calibri" w:cs="Calibri" w:eastAsia="Calibri" w:hAnsi="Calibri"/>
                <w:sz w:val="14"/>
                <w:szCs w:val="14"/>
                <w:b w:val="1"/>
                <w:bCs w:val="1"/>
                <w:color w:val="auto"/>
              </w:rPr>
              <w:t>on which registered</w:t>
            </w:r>
          </w:p>
        </w:tc>
        <w:tc>
          <w:tcPr>
            <w:tcW w:w="0" w:type="dxa"/>
            <w:vAlign w:val="bottom"/>
          </w:tcPr>
          <w:p>
            <w:pPr>
              <w:spacing w:after="0"/>
              <w:rPr>
                <w:sz w:val="1"/>
                <w:szCs w:val="1"/>
                <w:color w:val="auto"/>
              </w:rPr>
            </w:pPr>
          </w:p>
        </w:tc>
      </w:tr>
      <w:tr>
        <w:trPr>
          <w:trHeight w:val="33"/>
        </w:trPr>
        <w:tc>
          <w:tcPr>
            <w:tcW w:w="374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740" w:type="dxa"/>
            <w:vAlign w:val="bottom"/>
          </w:tcPr>
          <w:p>
            <w:pPr>
              <w:jc w:val="center"/>
              <w:spacing w:after="0" w:line="208" w:lineRule="exact"/>
              <w:rPr>
                <w:sz w:val="20"/>
                <w:szCs w:val="20"/>
                <w:color w:val="auto"/>
              </w:rPr>
            </w:pPr>
            <w:r>
              <w:rPr>
                <w:rFonts w:ascii="Calibri" w:cs="Calibri" w:eastAsia="Calibri" w:hAnsi="Calibri"/>
                <w:sz w:val="18"/>
                <w:szCs w:val="18"/>
                <w:color w:val="auto"/>
                <w:w w:val="97"/>
              </w:rPr>
              <w:t>Common Stock, par value $0.001 per share</w:t>
            </w:r>
          </w:p>
        </w:tc>
        <w:tc>
          <w:tcPr>
            <w:tcW w:w="120" w:type="dxa"/>
            <w:vAlign w:val="bottom"/>
            <w:vMerge w:val="continue"/>
          </w:tcPr>
          <w:p>
            <w:pPr>
              <w:spacing w:after="0"/>
              <w:rPr>
                <w:sz w:val="18"/>
                <w:szCs w:val="18"/>
                <w:color w:val="auto"/>
              </w:rPr>
            </w:pPr>
          </w:p>
        </w:tc>
        <w:tc>
          <w:tcPr>
            <w:tcW w:w="3520" w:type="dxa"/>
            <w:vAlign w:val="bottom"/>
          </w:tcPr>
          <w:p>
            <w:pPr>
              <w:jc w:val="center"/>
              <w:spacing w:after="0" w:line="208" w:lineRule="exact"/>
              <w:rPr>
                <w:sz w:val="20"/>
                <w:szCs w:val="20"/>
                <w:color w:val="auto"/>
              </w:rPr>
            </w:pPr>
            <w:r>
              <w:rPr>
                <w:rFonts w:ascii="Calibri" w:cs="Calibri" w:eastAsia="Calibri" w:hAnsi="Calibri"/>
                <w:sz w:val="18"/>
                <w:szCs w:val="18"/>
                <w:color w:val="auto"/>
                <w:w w:val="94"/>
              </w:rPr>
              <w:t>ELVN</w:t>
            </w:r>
          </w:p>
        </w:tc>
        <w:tc>
          <w:tcPr>
            <w:tcW w:w="100" w:type="dxa"/>
            <w:vAlign w:val="bottom"/>
            <w:vMerge w:val="continue"/>
          </w:tcPr>
          <w:p>
            <w:pPr>
              <w:spacing w:after="0"/>
              <w:rPr>
                <w:sz w:val="18"/>
                <w:szCs w:val="18"/>
                <w:color w:val="auto"/>
              </w:rPr>
            </w:pPr>
          </w:p>
        </w:tc>
        <w:tc>
          <w:tcPr>
            <w:tcW w:w="3540" w:type="dxa"/>
            <w:vAlign w:val="bottom"/>
          </w:tcPr>
          <w:p>
            <w:pPr>
              <w:jc w:val="center"/>
              <w:spacing w:after="0" w:line="208" w:lineRule="exact"/>
              <w:rPr>
                <w:sz w:val="20"/>
                <w:szCs w:val="20"/>
                <w:color w:val="auto"/>
              </w:rPr>
            </w:pPr>
            <w:r>
              <w:rPr>
                <w:rFonts w:ascii="Calibri" w:cs="Calibri" w:eastAsia="Calibri" w:hAnsi="Calibri"/>
                <w:sz w:val="18"/>
                <w:szCs w:val="18"/>
                <w:color w:val="auto"/>
                <w:w w:val="97"/>
              </w:rPr>
              <w:t>The Nasdaq Global Select Market</w:t>
            </w:r>
          </w:p>
        </w:tc>
        <w:tc>
          <w:tcPr>
            <w:tcW w:w="0" w:type="dxa"/>
            <w:vAlign w:val="bottom"/>
          </w:tcPr>
          <w:p>
            <w:pPr>
              <w:spacing w:after="0"/>
              <w:rPr>
                <w:sz w:val="1"/>
                <w:szCs w:val="1"/>
                <w:color w:val="auto"/>
              </w:rPr>
            </w:pPr>
          </w:p>
        </w:tc>
      </w:tr>
    </w:tbl>
    <w:p>
      <w:pPr>
        <w:spacing w:after="0" w:line="127" w:lineRule="exact"/>
        <w:rPr>
          <w:sz w:val="24"/>
          <w:szCs w:val="24"/>
          <w:color w:val="auto"/>
        </w:rPr>
      </w:pPr>
    </w:p>
    <w:p>
      <w:pPr>
        <w:ind w:left="4" w:right="500"/>
        <w:spacing w:after="0" w:line="235" w:lineRule="auto"/>
        <w:rPr>
          <w:sz w:val="20"/>
          <w:szCs w:val="20"/>
          <w:color w:val="auto"/>
        </w:rPr>
      </w:pPr>
      <w:r>
        <w:rPr>
          <w:rFonts w:ascii="Calibri" w:cs="Calibri" w:eastAsia="Calibri" w:hAnsi="Calibri"/>
          <w:sz w:val="18"/>
          <w:szCs w:val="18"/>
          <w:color w:val="auto"/>
        </w:rPr>
        <w:t>Indicate by check mark whether the registrant is an emerging growth company as defned in Rule 405 of the Securites Act of 1933 (§ 230.405 of this chapter) or Rule 12b-2 of the Securites Exchange Act of 1934 (§ 240.12b-2 of this chapter).</w:t>
      </w:r>
    </w:p>
    <w:p>
      <w:pPr>
        <w:spacing w:after="0" w:line="73" w:lineRule="exact"/>
        <w:rPr>
          <w:sz w:val="24"/>
          <w:szCs w:val="24"/>
          <w:color w:val="auto"/>
        </w:rPr>
      </w:pPr>
    </w:p>
    <w:p>
      <w:pPr>
        <w:ind w:left="4"/>
        <w:spacing w:after="0" w:line="220" w:lineRule="exact"/>
        <w:rPr>
          <w:sz w:val="20"/>
          <w:szCs w:val="20"/>
          <w:color w:val="auto"/>
        </w:rPr>
      </w:pPr>
      <w:r>
        <w:rPr>
          <w:rFonts w:ascii="Calibri" w:cs="Calibri" w:eastAsia="Calibri" w:hAnsi="Calibri"/>
          <w:sz w:val="18"/>
          <w:szCs w:val="18"/>
          <w:color w:val="auto"/>
        </w:rPr>
        <w:t xml:space="preserve">Emerging growth company  </w:t>
      </w:r>
      <w:r>
        <w:rPr>
          <w:rFonts w:ascii="MS PGothic" w:cs="MS PGothic" w:eastAsia="MS PGothic" w:hAnsi="MS PGothic"/>
          <w:sz w:val="18"/>
          <w:szCs w:val="18"/>
          <w:color w:val="auto"/>
        </w:rPr>
        <w:t>☐</w:t>
      </w:r>
    </w:p>
    <w:p>
      <w:pPr>
        <w:spacing w:after="0" w:line="154" w:lineRule="exact"/>
        <w:rPr>
          <w:sz w:val="24"/>
          <w:szCs w:val="24"/>
          <w:color w:val="auto"/>
        </w:rPr>
      </w:pPr>
    </w:p>
    <w:p>
      <w:pPr>
        <w:ind w:left="4" w:right="80"/>
        <w:spacing w:after="0" w:line="241" w:lineRule="exact"/>
        <w:rPr>
          <w:sz w:val="20"/>
          <w:szCs w:val="20"/>
          <w:color w:val="auto"/>
        </w:rPr>
      </w:pPr>
      <w:r>
        <w:rPr>
          <w:rFonts w:ascii="Calibri" w:cs="Calibri" w:eastAsia="Calibri" w:hAnsi="Calibri"/>
          <w:sz w:val="18"/>
          <w:szCs w:val="18"/>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50" w:right="439" w:bottom="1440" w:gutter="0" w:footer="0" w:header="0"/>
        </w:sectPr>
      </w:pPr>
    </w:p>
    <w:bookmarkStart w:id="1" w:name="page2"/>
    <w:bookmarkEnd w:id="1"/>
    <w:p>
      <w:pPr>
        <w:spacing w:after="0"/>
        <w:tabs>
          <w:tab w:leader="none" w:pos="1180" w:val="left"/>
        </w:tabs>
        <w:rPr>
          <w:sz w:val="20"/>
          <w:szCs w:val="20"/>
          <w:color w:val="auto"/>
        </w:rPr>
      </w:pPr>
      <w:r>
        <w:rPr>
          <w:rFonts w:ascii="Calibri" w:cs="Calibri" w:eastAsia="Calibri" w:hAnsi="Calibri"/>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Calibri" w:cs="Calibri" w:eastAsia="Calibri" w:hAnsi="Calibri"/>
          <w:sz w:val="18"/>
          <w:szCs w:val="18"/>
          <w:b w:val="1"/>
          <w:bCs w:val="1"/>
          <w:color w:val="auto"/>
        </w:rPr>
        <w:t>Regulaton FD Disclosure.</w:t>
      </w:r>
    </w:p>
    <w:p>
      <w:pPr>
        <w:spacing w:after="0" w:line="109"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On June 11, 2026, Enliven Therapeutcs, Inc. (the “Company”) issued a press release announcing updated positve data from the Phase 1 ENABLE clinical trial evaluatng ELVN-001 in patents with chronic myeloid leukemia (“CML”). The press release is atached hereto as Exhibit 99.1 to this Current Report on Form 8-K and is incorporated herein by reference.</w:t>
      </w:r>
    </w:p>
    <w:p>
      <w:pPr>
        <w:spacing w:after="0" w:line="219" w:lineRule="exact"/>
        <w:rPr>
          <w:sz w:val="20"/>
          <w:szCs w:val="20"/>
          <w:color w:val="auto"/>
        </w:rPr>
      </w:pPr>
    </w:p>
    <w:p>
      <w:pPr>
        <w:jc w:val="both"/>
        <w:ind w:right="360"/>
        <w:spacing w:after="0" w:line="254" w:lineRule="auto"/>
        <w:rPr>
          <w:sz w:val="20"/>
          <w:szCs w:val="20"/>
          <w:color w:val="auto"/>
        </w:rPr>
      </w:pPr>
      <w:r>
        <w:rPr>
          <w:rFonts w:ascii="Calibri" w:cs="Calibri" w:eastAsia="Calibri" w:hAnsi="Calibri"/>
          <w:sz w:val="17"/>
          <w:szCs w:val="17"/>
          <w:color w:val="auto"/>
        </w:rPr>
        <w:t>All of the informaton furnished in this Item 7.01 (including Exhibit 99.1) shall not be deemed to be “fled” for purposes of Secton 18 of the Securites Exchange Act of 1934, as amended (the “Exchange Act”), or otherwise subject to the liabilites of that secton, nor shall it be deemed incorporated by reference into any fling under the Securites Act or the Exchange Act, except as shall be expressly set forth by specifc reference in such a fling.</w:t>
      </w:r>
    </w:p>
    <w:p>
      <w:pPr>
        <w:spacing w:after="0" w:line="349" w:lineRule="exact"/>
        <w:rPr>
          <w:sz w:val="20"/>
          <w:szCs w:val="20"/>
          <w:color w:val="auto"/>
        </w:rPr>
      </w:pPr>
    </w:p>
    <w:p>
      <w:pPr>
        <w:spacing w:after="0"/>
        <w:tabs>
          <w:tab w:leader="none" w:pos="1180" w:val="left"/>
        </w:tabs>
        <w:rPr>
          <w:sz w:val="20"/>
          <w:szCs w:val="20"/>
          <w:color w:val="auto"/>
        </w:rPr>
      </w:pPr>
      <w:r>
        <w:rPr>
          <w:rFonts w:ascii="Calibri" w:cs="Calibri" w:eastAsia="Calibri" w:hAnsi="Calibri"/>
          <w:sz w:val="18"/>
          <w:szCs w:val="18"/>
          <w:b w:val="1"/>
          <w:bCs w:val="1"/>
          <w:color w:val="auto"/>
        </w:rPr>
        <w:t>Item 8.01</w:t>
      </w:r>
      <w:r>
        <w:rPr>
          <w:sz w:val="20"/>
          <w:szCs w:val="20"/>
          <w:color w:val="auto"/>
        </w:rPr>
        <w:tab/>
      </w:r>
      <w:r>
        <w:rPr>
          <w:rFonts w:ascii="Calibri" w:cs="Calibri" w:eastAsia="Calibri" w:hAnsi="Calibri"/>
          <w:sz w:val="18"/>
          <w:szCs w:val="18"/>
          <w:b w:val="1"/>
          <w:bCs w:val="1"/>
          <w:color w:val="auto"/>
        </w:rPr>
        <w:t>Other Events.</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On June 11, 2026, the Company announced updated positve data from the Phase 1 ENABLE clinical trial evaluatng ELVN-001 in patents with CML and key outcomes from the Company’s End-of-Phase 1 meetng with the U.S. Food and Drug Administraton (the “FDA”).</w:t>
      </w:r>
    </w:p>
    <w:p>
      <w:pPr>
        <w:spacing w:after="0" w:line="321" w:lineRule="exact"/>
        <w:rPr>
          <w:sz w:val="20"/>
          <w:szCs w:val="20"/>
          <w:color w:val="auto"/>
        </w:rPr>
      </w:pPr>
    </w:p>
    <w:p>
      <w:pPr>
        <w:spacing w:after="0"/>
        <w:rPr>
          <w:sz w:val="20"/>
          <w:szCs w:val="20"/>
          <w:color w:val="auto"/>
        </w:rPr>
      </w:pPr>
      <w:r>
        <w:rPr>
          <w:rFonts w:ascii="Calibri" w:cs="Calibri" w:eastAsia="Calibri" w:hAnsi="Calibri"/>
          <w:sz w:val="18"/>
          <w:szCs w:val="18"/>
          <w:b w:val="1"/>
          <w:bCs w:val="1"/>
          <w:u w:val="single" w:color="auto"/>
          <w:color w:val="auto"/>
        </w:rPr>
        <w:t>ELVN-001 Updated Data Highlights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ENABLE Has Enrolled a Heavily Pretreated Patent Populaton</w:t>
      </w:r>
    </w:p>
    <w:p>
      <w:pPr>
        <w:spacing w:after="0" w:line="123" w:lineRule="exact"/>
        <w:rPr>
          <w:sz w:val="20"/>
          <w:szCs w:val="20"/>
          <w:color w:val="auto"/>
        </w:rPr>
      </w:pPr>
    </w:p>
    <w:p>
      <w:pPr>
        <w:ind w:left="960" w:right="160" w:hanging="424"/>
        <w:spacing w:after="0" w:line="235" w:lineRule="auto"/>
        <w:tabs>
          <w:tab w:leader="none" w:pos="96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As of the cutof date of March 10, 2026, 161 patents were enrolled in the ongoing Phase 1 trial across dose levels ranging from 10-240 mg daily.</w:t>
      </w:r>
    </w:p>
    <w:p>
      <w:pPr>
        <w:spacing w:after="0" w:line="118" w:lineRule="exact"/>
        <w:rPr>
          <w:rFonts w:ascii="Calibri" w:cs="Calibri" w:eastAsia="Calibri" w:hAnsi="Calibri"/>
          <w:sz w:val="18"/>
          <w:szCs w:val="18"/>
          <w:color w:val="auto"/>
        </w:rPr>
      </w:pPr>
    </w:p>
    <w:p>
      <w:pPr>
        <w:ind w:left="960" w:hanging="424"/>
        <w:spacing w:after="0"/>
        <w:tabs>
          <w:tab w:leader="none" w:pos="96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Most patents (76%) remain on study with a median treatment duraton of 35 weeks.</w:t>
      </w:r>
    </w:p>
    <w:p>
      <w:pPr>
        <w:spacing w:after="0" w:line="122" w:lineRule="exact"/>
        <w:rPr>
          <w:rFonts w:ascii="Calibri" w:cs="Calibri" w:eastAsia="Calibri" w:hAnsi="Calibri"/>
          <w:sz w:val="18"/>
          <w:szCs w:val="18"/>
          <w:color w:val="auto"/>
        </w:rPr>
      </w:pPr>
    </w:p>
    <w:p>
      <w:pPr>
        <w:ind w:left="960" w:right="140" w:hanging="424"/>
        <w:spacing w:after="0" w:line="235" w:lineRule="auto"/>
        <w:tabs>
          <w:tab w:leader="none" w:pos="960" w:val="left"/>
        </w:tabs>
        <w:numPr>
          <w:ilvl w:val="0"/>
          <w:numId w:val="2"/>
        </w:numPr>
        <w:rPr>
          <w:rFonts w:ascii="Calibri" w:cs="Calibri" w:eastAsia="Calibri" w:hAnsi="Calibri"/>
          <w:sz w:val="18"/>
          <w:szCs w:val="18"/>
          <w:color w:val="auto"/>
        </w:rPr>
      </w:pPr>
      <w:r>
        <w:rPr>
          <w:rFonts w:ascii="Calibri" w:cs="Calibri" w:eastAsia="Calibri" w:hAnsi="Calibri"/>
          <w:sz w:val="18"/>
          <w:szCs w:val="18"/>
          <w:color w:val="auto"/>
        </w:rPr>
        <w:t>Patents enrolled were heavily pretreated, with 70% having received three or more prior unique tyrosine kinase inhibitors (“TKIs”) and 23% having received fve or more unique TKIs.</w:t>
      </w:r>
    </w:p>
    <w:p>
      <w:pPr>
        <w:spacing w:after="0" w:line="123" w:lineRule="exact"/>
        <w:rPr>
          <w:rFonts w:ascii="Calibri" w:cs="Calibri" w:eastAsia="Calibri" w:hAnsi="Calibri"/>
          <w:sz w:val="18"/>
          <w:szCs w:val="18"/>
          <w:color w:val="auto"/>
        </w:rPr>
      </w:pPr>
    </w:p>
    <w:p>
      <w:pPr>
        <w:ind w:left="1420" w:right="440" w:hanging="331"/>
        <w:spacing w:after="0" w:line="235" w:lineRule="auto"/>
        <w:tabs>
          <w:tab w:leader="none" w:pos="1420" w:val="left"/>
        </w:tabs>
        <w:numPr>
          <w:ilvl w:val="1"/>
          <w:numId w:val="2"/>
        </w:numPr>
        <w:rPr>
          <w:rFonts w:ascii="Calibri" w:cs="Calibri" w:eastAsia="Calibri" w:hAnsi="Calibri"/>
          <w:sz w:val="18"/>
          <w:szCs w:val="18"/>
          <w:color w:val="auto"/>
        </w:rPr>
      </w:pPr>
      <w:r>
        <w:rPr>
          <w:rFonts w:ascii="Calibri" w:cs="Calibri" w:eastAsia="Calibri" w:hAnsi="Calibri"/>
          <w:sz w:val="18"/>
          <w:szCs w:val="18"/>
          <w:color w:val="auto"/>
        </w:rPr>
        <w:t>62% of patents received prior asciminib, and these patents were more heavily pretreated than the overall trial populaton: 93% received three or more prior unique TKIs, and 34% received fve or more unique TKIs.</w:t>
      </w:r>
    </w:p>
    <w:p>
      <w:pPr>
        <w:spacing w:after="0" w:line="123" w:lineRule="exact"/>
        <w:rPr>
          <w:rFonts w:ascii="Calibri" w:cs="Calibri" w:eastAsia="Calibri" w:hAnsi="Calibri"/>
          <w:sz w:val="18"/>
          <w:szCs w:val="18"/>
          <w:color w:val="auto"/>
        </w:rPr>
      </w:pPr>
    </w:p>
    <w:p>
      <w:pPr>
        <w:ind w:left="1420" w:right="300" w:hanging="331"/>
        <w:spacing w:after="0" w:line="235" w:lineRule="auto"/>
        <w:tabs>
          <w:tab w:leader="none" w:pos="1420" w:val="left"/>
        </w:tabs>
        <w:numPr>
          <w:ilvl w:val="1"/>
          <w:numId w:val="2"/>
        </w:numPr>
        <w:rPr>
          <w:rFonts w:ascii="Calibri" w:cs="Calibri" w:eastAsia="Calibri" w:hAnsi="Calibri"/>
          <w:sz w:val="18"/>
          <w:szCs w:val="18"/>
          <w:color w:val="auto"/>
        </w:rPr>
      </w:pPr>
      <w:r>
        <w:rPr>
          <w:rFonts w:ascii="Calibri" w:cs="Calibri" w:eastAsia="Calibri" w:hAnsi="Calibri"/>
          <w:sz w:val="18"/>
          <w:szCs w:val="18"/>
          <w:color w:val="auto"/>
        </w:rPr>
        <w:t>8% of patents enrolled with mutatons associated with resistance to allosteric inhibitors, increasing from 4% in Phase 1a to 11% in Phase 1b.</w:t>
      </w:r>
    </w:p>
    <w:p>
      <w:pPr>
        <w:spacing w:after="0" w:line="32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Encouraging ELVN-001 Efcacy Data by 24 Weeks</w:t>
      </w:r>
    </w:p>
    <w:p>
      <w:pPr>
        <w:spacing w:after="0" w:line="123" w:lineRule="exact"/>
        <w:rPr>
          <w:sz w:val="20"/>
          <w:szCs w:val="20"/>
          <w:color w:val="auto"/>
        </w:rPr>
      </w:pPr>
    </w:p>
    <w:p>
      <w:pPr>
        <w:ind w:left="960" w:right="200" w:hanging="424"/>
        <w:spacing w:after="0" w:line="235" w:lineRule="auto"/>
        <w:tabs>
          <w:tab w:leader="none" w:pos="960"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Of the 90 patents enrolled in the Phase 1b, 78 had typical BCR::ABL1 transcripts and had at least one post-baseline transcript; 69 patents were evaluable for major molecular response (MMR) by 24 weeks.</w:t>
      </w:r>
    </w:p>
    <w:p>
      <w:pPr>
        <w:spacing w:after="0" w:line="123" w:lineRule="exact"/>
        <w:rPr>
          <w:rFonts w:ascii="Calibri" w:cs="Calibri" w:eastAsia="Calibri" w:hAnsi="Calibri"/>
          <w:sz w:val="18"/>
          <w:szCs w:val="18"/>
          <w:color w:val="auto"/>
        </w:rPr>
      </w:pPr>
    </w:p>
    <w:p>
      <w:pPr>
        <w:ind w:left="960" w:right="100" w:hanging="424"/>
        <w:spacing w:after="0" w:line="235" w:lineRule="auto"/>
        <w:tabs>
          <w:tab w:leader="none" w:pos="960"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Additonally, of the 49 patents enrolled in the 80 mg once daily (QD) Phase 1b cohort, 37 had typical BCR::ABL1 transcripts and had at least one post-baseline transcript; 28 patents were evaluable for MMR by 24 weeks.</w:t>
      </w:r>
    </w:p>
    <w:p>
      <w:pPr>
        <w:spacing w:after="0" w:line="252"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3020" w:type="dxa"/>
            <w:vAlign w:val="bottom"/>
            <w:gridSpan w:val="2"/>
          </w:tcPr>
          <w:p>
            <w:pPr>
              <w:jc w:val="center"/>
              <w:ind w:right="100"/>
              <w:spacing w:after="0"/>
              <w:rPr>
                <w:sz w:val="20"/>
                <w:szCs w:val="20"/>
                <w:color w:val="auto"/>
              </w:rPr>
            </w:pPr>
            <w:r>
              <w:rPr>
                <w:rFonts w:ascii="Calibri" w:cs="Calibri" w:eastAsia="Calibri" w:hAnsi="Calibri"/>
                <w:sz w:val="14"/>
                <w:szCs w:val="14"/>
                <w:b w:val="1"/>
                <w:bCs w:val="1"/>
                <w:color w:val="auto"/>
              </w:rPr>
              <w:t>Cohort (n = evaluable for MMR)</w:t>
            </w:r>
          </w:p>
        </w:tc>
        <w:tc>
          <w:tcPr>
            <w:tcW w:w="2780" w:type="dxa"/>
            <w:vAlign w:val="bottom"/>
            <w:gridSpan w:val="2"/>
          </w:tcPr>
          <w:p>
            <w:pPr>
              <w:ind w:left="1060"/>
              <w:spacing w:after="0"/>
              <w:rPr>
                <w:sz w:val="20"/>
                <w:szCs w:val="20"/>
                <w:color w:val="auto"/>
              </w:rPr>
            </w:pPr>
            <w:r>
              <w:rPr>
                <w:rFonts w:ascii="Calibri" w:cs="Calibri" w:eastAsia="Calibri" w:hAnsi="Calibri"/>
                <w:sz w:val="14"/>
                <w:szCs w:val="14"/>
                <w:b w:val="1"/>
                <w:bCs w:val="1"/>
                <w:color w:val="auto"/>
              </w:rPr>
              <w:t>Phase 1b</w:t>
            </w:r>
          </w:p>
        </w:tc>
        <w:tc>
          <w:tcPr>
            <w:tcW w:w="2560" w:type="dxa"/>
            <w:vAlign w:val="bottom"/>
          </w:tcPr>
          <w:p>
            <w:pPr>
              <w:jc w:val="center"/>
              <w:spacing w:after="0"/>
              <w:rPr>
                <w:sz w:val="20"/>
                <w:szCs w:val="20"/>
                <w:color w:val="auto"/>
              </w:rPr>
            </w:pPr>
            <w:r>
              <w:rPr>
                <w:rFonts w:ascii="Calibri" w:cs="Calibri" w:eastAsia="Calibri" w:hAnsi="Calibri"/>
                <w:sz w:val="14"/>
                <w:szCs w:val="14"/>
                <w:b w:val="1"/>
                <w:bCs w:val="1"/>
                <w:color w:val="auto"/>
              </w:rPr>
              <w:t>Phase 1b 80 mg QD Cohort</w:t>
            </w:r>
          </w:p>
        </w:tc>
        <w:tc>
          <w:tcPr>
            <w:tcW w:w="0" w:type="dxa"/>
            <w:vAlign w:val="bottom"/>
          </w:tcPr>
          <w:p>
            <w:pPr>
              <w:spacing w:after="0"/>
              <w:rPr>
                <w:sz w:val="1"/>
                <w:szCs w:val="1"/>
                <w:color w:val="auto"/>
              </w:rPr>
            </w:pPr>
          </w:p>
        </w:tc>
      </w:tr>
      <w:tr>
        <w:trPr>
          <w:trHeight w:val="33"/>
        </w:trPr>
        <w:tc>
          <w:tcPr>
            <w:tcW w:w="292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920" w:type="dxa"/>
            <w:vAlign w:val="bottom"/>
          </w:tcPr>
          <w:p>
            <w:pPr>
              <w:jc w:val="center"/>
              <w:spacing w:after="0" w:line="187" w:lineRule="exact"/>
              <w:rPr>
                <w:sz w:val="20"/>
                <w:szCs w:val="20"/>
                <w:color w:val="auto"/>
              </w:rPr>
            </w:pPr>
            <w:r>
              <w:rPr>
                <w:rFonts w:ascii="Calibri" w:cs="Calibri" w:eastAsia="Calibri" w:hAnsi="Calibri"/>
                <w:sz w:val="18"/>
                <w:szCs w:val="18"/>
                <w:color w:val="auto"/>
                <w:w w:val="97"/>
              </w:rPr>
              <w:t>Overall MMR</w:t>
            </w:r>
          </w:p>
        </w:tc>
        <w:tc>
          <w:tcPr>
            <w:tcW w:w="100" w:type="dxa"/>
            <w:vAlign w:val="bottom"/>
            <w:vMerge w:val="continue"/>
          </w:tcPr>
          <w:p>
            <w:pPr>
              <w:spacing w:after="0"/>
              <w:rPr>
                <w:sz w:val="16"/>
                <w:szCs w:val="16"/>
                <w:color w:val="auto"/>
              </w:rPr>
            </w:pPr>
          </w:p>
        </w:tc>
        <w:tc>
          <w:tcPr>
            <w:tcW w:w="2660" w:type="dxa"/>
            <w:vAlign w:val="bottom"/>
          </w:tcPr>
          <w:p>
            <w:pPr>
              <w:jc w:val="center"/>
              <w:spacing w:after="0" w:line="187" w:lineRule="exact"/>
              <w:rPr>
                <w:sz w:val="20"/>
                <w:szCs w:val="20"/>
                <w:color w:val="auto"/>
              </w:rPr>
            </w:pPr>
            <w:r>
              <w:rPr>
                <w:rFonts w:ascii="Calibri" w:cs="Calibri" w:eastAsia="Calibri" w:hAnsi="Calibri"/>
                <w:sz w:val="18"/>
                <w:szCs w:val="18"/>
                <w:color w:val="auto"/>
                <w:w w:val="99"/>
              </w:rPr>
              <w:t>54% (n=69)</w:t>
            </w:r>
          </w:p>
        </w:tc>
        <w:tc>
          <w:tcPr>
            <w:tcW w:w="120" w:type="dxa"/>
            <w:vAlign w:val="bottom"/>
            <w:vMerge w:val="continue"/>
          </w:tcPr>
          <w:p>
            <w:pPr>
              <w:spacing w:after="0"/>
              <w:rPr>
                <w:sz w:val="16"/>
                <w:szCs w:val="16"/>
                <w:color w:val="auto"/>
              </w:rPr>
            </w:pPr>
          </w:p>
        </w:tc>
        <w:tc>
          <w:tcPr>
            <w:tcW w:w="2560" w:type="dxa"/>
            <w:vAlign w:val="bottom"/>
          </w:tcPr>
          <w:p>
            <w:pPr>
              <w:jc w:val="center"/>
              <w:spacing w:after="0" w:line="187" w:lineRule="exact"/>
              <w:rPr>
                <w:sz w:val="20"/>
                <w:szCs w:val="20"/>
                <w:color w:val="auto"/>
              </w:rPr>
            </w:pPr>
            <w:r>
              <w:rPr>
                <w:rFonts w:ascii="Calibri" w:cs="Calibri" w:eastAsia="Calibri" w:hAnsi="Calibri"/>
                <w:sz w:val="18"/>
                <w:szCs w:val="18"/>
                <w:color w:val="auto"/>
                <w:w w:val="96"/>
              </w:rPr>
              <w:t>61% (n=28)</w:t>
            </w:r>
          </w:p>
        </w:tc>
        <w:tc>
          <w:tcPr>
            <w:tcW w:w="0" w:type="dxa"/>
            <w:vAlign w:val="bottom"/>
          </w:tcPr>
          <w:p>
            <w:pPr>
              <w:spacing w:after="0"/>
              <w:rPr>
                <w:sz w:val="1"/>
                <w:szCs w:val="1"/>
                <w:color w:val="auto"/>
              </w:rPr>
            </w:pPr>
          </w:p>
        </w:tc>
      </w:tr>
      <w:tr>
        <w:trPr>
          <w:trHeight w:val="215"/>
        </w:trPr>
        <w:tc>
          <w:tcPr>
            <w:tcW w:w="3020" w:type="dxa"/>
            <w:vAlign w:val="bottom"/>
            <w:gridSpan w:val="2"/>
          </w:tcPr>
          <w:p>
            <w:pPr>
              <w:jc w:val="center"/>
              <w:ind w:right="100"/>
              <w:spacing w:after="0" w:line="215" w:lineRule="exact"/>
              <w:rPr>
                <w:sz w:val="20"/>
                <w:szCs w:val="20"/>
                <w:color w:val="auto"/>
              </w:rPr>
            </w:pPr>
            <w:r>
              <w:rPr>
                <w:rFonts w:ascii="Calibri" w:cs="Calibri" w:eastAsia="Calibri" w:hAnsi="Calibri"/>
                <w:sz w:val="18"/>
                <w:szCs w:val="18"/>
                <w:color w:val="auto"/>
                <w:w w:val="96"/>
              </w:rPr>
              <w:t>Achieved MMR</w:t>
            </w:r>
          </w:p>
        </w:tc>
        <w:tc>
          <w:tcPr>
            <w:tcW w:w="2780" w:type="dxa"/>
            <w:vAlign w:val="bottom"/>
            <w:gridSpan w:val="2"/>
          </w:tcPr>
          <w:p>
            <w:pPr>
              <w:jc w:val="center"/>
              <w:ind w:right="120"/>
              <w:spacing w:after="0" w:line="215" w:lineRule="exact"/>
              <w:rPr>
                <w:sz w:val="20"/>
                <w:szCs w:val="20"/>
                <w:color w:val="auto"/>
              </w:rPr>
            </w:pPr>
            <w:r>
              <w:rPr>
                <w:rFonts w:ascii="Calibri" w:cs="Calibri" w:eastAsia="Calibri" w:hAnsi="Calibri"/>
                <w:sz w:val="18"/>
                <w:szCs w:val="18"/>
                <w:color w:val="auto"/>
                <w:w w:val="99"/>
              </w:rPr>
              <w:t>40% (n=53)</w:t>
            </w:r>
          </w:p>
        </w:tc>
        <w:tc>
          <w:tcPr>
            <w:tcW w:w="2560" w:type="dxa"/>
            <w:vAlign w:val="bottom"/>
          </w:tcPr>
          <w:p>
            <w:pPr>
              <w:jc w:val="center"/>
              <w:spacing w:after="0" w:line="215" w:lineRule="exact"/>
              <w:rPr>
                <w:sz w:val="20"/>
                <w:szCs w:val="20"/>
                <w:color w:val="auto"/>
              </w:rPr>
            </w:pPr>
            <w:r>
              <w:rPr>
                <w:rFonts w:ascii="Calibri" w:cs="Calibri" w:eastAsia="Calibri" w:hAnsi="Calibri"/>
                <w:sz w:val="18"/>
                <w:szCs w:val="18"/>
                <w:color w:val="auto"/>
                <w:w w:val="96"/>
              </w:rPr>
              <w:t>48% (n=21)</w:t>
            </w:r>
          </w:p>
        </w:tc>
        <w:tc>
          <w:tcPr>
            <w:tcW w:w="0" w:type="dxa"/>
            <w:vAlign w:val="bottom"/>
          </w:tcPr>
          <w:p>
            <w:pPr>
              <w:spacing w:after="0"/>
              <w:rPr>
                <w:sz w:val="1"/>
                <w:szCs w:val="1"/>
                <w:color w:val="auto"/>
              </w:rPr>
            </w:pPr>
          </w:p>
        </w:tc>
      </w:tr>
      <w:tr>
        <w:trPr>
          <w:trHeight w:val="216"/>
        </w:trPr>
        <w:tc>
          <w:tcPr>
            <w:tcW w:w="3020" w:type="dxa"/>
            <w:vAlign w:val="bottom"/>
            <w:gridSpan w:val="2"/>
          </w:tcPr>
          <w:p>
            <w:pPr>
              <w:jc w:val="center"/>
              <w:ind w:right="100"/>
              <w:spacing w:after="0" w:line="216" w:lineRule="exact"/>
              <w:rPr>
                <w:sz w:val="20"/>
                <w:szCs w:val="20"/>
                <w:color w:val="auto"/>
              </w:rPr>
            </w:pPr>
            <w:r>
              <w:rPr>
                <w:rFonts w:ascii="Calibri" w:cs="Calibri" w:eastAsia="Calibri" w:hAnsi="Calibri"/>
                <w:sz w:val="18"/>
                <w:szCs w:val="18"/>
                <w:color w:val="auto"/>
                <w:w w:val="96"/>
              </w:rPr>
              <w:t>Maintained MMR</w:t>
            </w:r>
          </w:p>
        </w:tc>
        <w:tc>
          <w:tcPr>
            <w:tcW w:w="2780" w:type="dxa"/>
            <w:vAlign w:val="bottom"/>
            <w:gridSpan w:val="2"/>
          </w:tcPr>
          <w:p>
            <w:pPr>
              <w:jc w:val="center"/>
              <w:ind w:right="120"/>
              <w:spacing w:after="0" w:line="216" w:lineRule="exact"/>
              <w:rPr>
                <w:sz w:val="20"/>
                <w:szCs w:val="20"/>
                <w:color w:val="auto"/>
              </w:rPr>
            </w:pPr>
            <w:r>
              <w:rPr>
                <w:rFonts w:ascii="Calibri" w:cs="Calibri" w:eastAsia="Calibri" w:hAnsi="Calibri"/>
                <w:sz w:val="18"/>
                <w:szCs w:val="18"/>
                <w:color w:val="auto"/>
                <w:w w:val="97"/>
              </w:rPr>
              <w:t>100% (n=16)</w:t>
            </w:r>
          </w:p>
        </w:tc>
        <w:tc>
          <w:tcPr>
            <w:tcW w:w="2560" w:type="dxa"/>
            <w:vAlign w:val="bottom"/>
          </w:tcPr>
          <w:p>
            <w:pPr>
              <w:jc w:val="center"/>
              <w:spacing w:after="0" w:line="216" w:lineRule="exact"/>
              <w:rPr>
                <w:sz w:val="20"/>
                <w:szCs w:val="20"/>
                <w:color w:val="auto"/>
              </w:rPr>
            </w:pPr>
            <w:r>
              <w:rPr>
                <w:rFonts w:ascii="Calibri" w:cs="Calibri" w:eastAsia="Calibri" w:hAnsi="Calibri"/>
                <w:sz w:val="18"/>
                <w:szCs w:val="18"/>
                <w:color w:val="auto"/>
                <w:w w:val="96"/>
              </w:rPr>
              <w:t>100% (n=7)</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960" w:hanging="424"/>
        <w:spacing w:after="0"/>
        <w:tabs>
          <w:tab w:leader="none" w:pos="960"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Deep Molecular Response (DMR) achievement rates were also encouraging.</w:t>
      </w:r>
    </w:p>
    <w:p>
      <w:pPr>
        <w:spacing w:after="0" w:line="117" w:lineRule="exact"/>
        <w:rPr>
          <w:rFonts w:ascii="Calibri" w:cs="Calibri" w:eastAsia="Calibri" w:hAnsi="Calibri"/>
          <w:sz w:val="18"/>
          <w:szCs w:val="18"/>
          <w:color w:val="auto"/>
        </w:rPr>
      </w:pPr>
    </w:p>
    <w:p>
      <w:pPr>
        <w:ind w:left="1420" w:hanging="331"/>
        <w:spacing w:after="0"/>
        <w:tabs>
          <w:tab w:leader="none" w:pos="1420" w:val="left"/>
        </w:tabs>
        <w:numPr>
          <w:ilvl w:val="1"/>
          <w:numId w:val="4"/>
        </w:numPr>
        <w:rPr>
          <w:rFonts w:ascii="Calibri" w:cs="Calibri" w:eastAsia="Calibri" w:hAnsi="Calibri"/>
          <w:sz w:val="18"/>
          <w:szCs w:val="18"/>
          <w:color w:val="auto"/>
        </w:rPr>
      </w:pPr>
      <w:r>
        <w:rPr>
          <w:rFonts w:ascii="Calibri" w:cs="Calibri" w:eastAsia="Calibri" w:hAnsi="Calibri"/>
          <w:sz w:val="18"/>
          <w:szCs w:val="18"/>
          <w:color w:val="auto"/>
        </w:rPr>
        <w:t>By 24 weeks, DMR was achieved in 22% of patents in the overall Phase 1b and 30% of patents in the 80 mg QD Phase 1b cohort.</w:t>
      </w:r>
    </w:p>
    <w:p>
      <w:pPr>
        <w:sectPr>
          <w:pgSz w:w="11900" w:h="16838" w:orient="portrait"/>
          <w:cols w:equalWidth="0" w:num="1">
            <w:col w:w="10960"/>
          </w:cols>
          <w:pgMar w:left="440" w:top="288" w:right="499" w:bottom="1440" w:gutter="0" w:footer="0" w:header="0"/>
        </w:sectPr>
      </w:pPr>
    </w:p>
    <w:bookmarkStart w:id="2" w:name="page3"/>
    <w:bookmarkEnd w:id="2"/>
    <w:p>
      <w:pPr>
        <w:ind w:left="960" w:hanging="424"/>
        <w:spacing w:after="0"/>
        <w:tabs>
          <w:tab w:leader="none" w:pos="960"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Response rates were higher in less heavily pretreated patents, and prior asciminib exposure did not meaningfully impact response rates.</w:t>
      </w:r>
    </w:p>
    <w:p>
      <w:pPr>
        <w:spacing w:after="0" w:line="239"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Achieved Response Rates by 24-weeks (n = evaluable for MMR)</w:t>
      </w:r>
    </w:p>
    <w:p>
      <w:pPr>
        <w:spacing w:after="0" w:line="116"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3020" w:type="dxa"/>
            <w:vAlign w:val="bottom"/>
            <w:gridSpan w:val="2"/>
          </w:tcPr>
          <w:p>
            <w:pPr>
              <w:ind w:left="600"/>
              <w:spacing w:after="0"/>
              <w:rPr>
                <w:sz w:val="20"/>
                <w:szCs w:val="20"/>
                <w:color w:val="auto"/>
              </w:rPr>
            </w:pPr>
            <w:r>
              <w:rPr>
                <w:rFonts w:ascii="Calibri" w:cs="Calibri" w:eastAsia="Calibri" w:hAnsi="Calibri"/>
                <w:sz w:val="14"/>
                <w:szCs w:val="14"/>
                <w:b w:val="1"/>
                <w:bCs w:val="1"/>
                <w:color w:val="auto"/>
              </w:rPr>
              <w:t>Prior number of unique TKIs:</w:t>
            </w:r>
          </w:p>
        </w:tc>
        <w:tc>
          <w:tcPr>
            <w:tcW w:w="2780" w:type="dxa"/>
            <w:vAlign w:val="bottom"/>
            <w:gridSpan w:val="2"/>
          </w:tcPr>
          <w:p>
            <w:pPr>
              <w:jc w:val="center"/>
              <w:ind w:right="100"/>
              <w:spacing w:after="0"/>
              <w:rPr>
                <w:sz w:val="20"/>
                <w:szCs w:val="20"/>
                <w:color w:val="auto"/>
              </w:rPr>
            </w:pPr>
            <w:r>
              <w:rPr>
                <w:rFonts w:ascii="Calibri" w:cs="Calibri" w:eastAsia="Calibri" w:hAnsi="Calibri"/>
                <w:sz w:val="14"/>
                <w:szCs w:val="14"/>
                <w:b w:val="1"/>
                <w:bCs w:val="1"/>
                <w:color w:val="auto"/>
              </w:rPr>
              <w:t>Phase 1b (n=69)</w:t>
            </w:r>
          </w:p>
        </w:tc>
        <w:tc>
          <w:tcPr>
            <w:tcW w:w="2560" w:type="dxa"/>
            <w:vAlign w:val="bottom"/>
          </w:tcPr>
          <w:p>
            <w:pPr>
              <w:ind w:left="360"/>
              <w:spacing w:after="0"/>
              <w:rPr>
                <w:sz w:val="20"/>
                <w:szCs w:val="20"/>
                <w:color w:val="auto"/>
              </w:rPr>
            </w:pPr>
            <w:r>
              <w:rPr>
                <w:rFonts w:ascii="Calibri" w:cs="Calibri" w:eastAsia="Calibri" w:hAnsi="Calibri"/>
                <w:sz w:val="14"/>
                <w:szCs w:val="14"/>
                <w:b w:val="1"/>
                <w:bCs w:val="1"/>
                <w:color w:val="auto"/>
              </w:rPr>
              <w:t>Phase 1b post-asciminib (n=43)</w:t>
            </w:r>
          </w:p>
        </w:tc>
        <w:tc>
          <w:tcPr>
            <w:tcW w:w="0" w:type="dxa"/>
            <w:vAlign w:val="bottom"/>
          </w:tcPr>
          <w:p>
            <w:pPr>
              <w:spacing w:after="0"/>
              <w:rPr>
                <w:sz w:val="1"/>
                <w:szCs w:val="1"/>
                <w:color w:val="auto"/>
              </w:rPr>
            </w:pPr>
          </w:p>
        </w:tc>
      </w:tr>
      <w:tr>
        <w:trPr>
          <w:trHeight w:val="33"/>
        </w:trPr>
        <w:tc>
          <w:tcPr>
            <w:tcW w:w="292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920" w:type="dxa"/>
            <w:vAlign w:val="bottom"/>
          </w:tcPr>
          <w:p>
            <w:pPr>
              <w:jc w:val="center"/>
              <w:spacing w:after="0" w:line="187" w:lineRule="exact"/>
              <w:rPr>
                <w:sz w:val="20"/>
                <w:szCs w:val="20"/>
                <w:color w:val="auto"/>
              </w:rPr>
            </w:pPr>
            <w:r>
              <w:rPr>
                <w:rFonts w:ascii="Calibri" w:cs="Calibri" w:eastAsia="Calibri" w:hAnsi="Calibri"/>
                <w:sz w:val="18"/>
                <w:szCs w:val="18"/>
                <w:color w:val="auto"/>
              </w:rPr>
              <w:t>1-2</w:t>
            </w:r>
          </w:p>
        </w:tc>
        <w:tc>
          <w:tcPr>
            <w:tcW w:w="100" w:type="dxa"/>
            <w:vAlign w:val="bottom"/>
            <w:vMerge w:val="continue"/>
          </w:tcPr>
          <w:p>
            <w:pPr>
              <w:spacing w:after="0"/>
              <w:rPr>
                <w:sz w:val="16"/>
                <w:szCs w:val="16"/>
                <w:color w:val="auto"/>
              </w:rPr>
            </w:pPr>
          </w:p>
        </w:tc>
        <w:tc>
          <w:tcPr>
            <w:tcW w:w="2660" w:type="dxa"/>
            <w:vAlign w:val="bottom"/>
          </w:tcPr>
          <w:p>
            <w:pPr>
              <w:jc w:val="center"/>
              <w:spacing w:after="0" w:line="187" w:lineRule="exact"/>
              <w:rPr>
                <w:sz w:val="20"/>
                <w:szCs w:val="20"/>
                <w:color w:val="auto"/>
              </w:rPr>
            </w:pPr>
            <w:r>
              <w:rPr>
                <w:rFonts w:ascii="Calibri" w:cs="Calibri" w:eastAsia="Calibri" w:hAnsi="Calibri"/>
                <w:sz w:val="18"/>
                <w:szCs w:val="18"/>
                <w:color w:val="auto"/>
                <w:w w:val="99"/>
              </w:rPr>
              <w:t>55% (n=27)</w:t>
            </w:r>
          </w:p>
        </w:tc>
        <w:tc>
          <w:tcPr>
            <w:tcW w:w="120" w:type="dxa"/>
            <w:vAlign w:val="bottom"/>
            <w:vMerge w:val="continue"/>
          </w:tcPr>
          <w:p>
            <w:pPr>
              <w:spacing w:after="0"/>
              <w:rPr>
                <w:sz w:val="16"/>
                <w:szCs w:val="16"/>
                <w:color w:val="auto"/>
              </w:rPr>
            </w:pPr>
          </w:p>
        </w:tc>
        <w:tc>
          <w:tcPr>
            <w:tcW w:w="2560" w:type="dxa"/>
            <w:vAlign w:val="bottom"/>
          </w:tcPr>
          <w:p>
            <w:pPr>
              <w:jc w:val="center"/>
              <w:spacing w:after="0" w:line="187" w:lineRule="exact"/>
              <w:rPr>
                <w:sz w:val="20"/>
                <w:szCs w:val="20"/>
                <w:color w:val="auto"/>
              </w:rPr>
            </w:pPr>
            <w:r>
              <w:rPr>
                <w:rFonts w:ascii="Calibri" w:cs="Calibri" w:eastAsia="Calibri" w:hAnsi="Calibri"/>
                <w:sz w:val="18"/>
                <w:szCs w:val="18"/>
                <w:color w:val="auto"/>
                <w:w w:val="97"/>
              </w:rPr>
              <w:t>60% (n=6)</w:t>
            </w:r>
          </w:p>
        </w:tc>
        <w:tc>
          <w:tcPr>
            <w:tcW w:w="0" w:type="dxa"/>
            <w:vAlign w:val="bottom"/>
          </w:tcPr>
          <w:p>
            <w:pPr>
              <w:spacing w:after="0"/>
              <w:rPr>
                <w:sz w:val="1"/>
                <w:szCs w:val="1"/>
                <w:color w:val="auto"/>
              </w:rPr>
            </w:pPr>
          </w:p>
        </w:tc>
      </w:tr>
      <w:tr>
        <w:trPr>
          <w:trHeight w:val="215"/>
        </w:trPr>
        <w:tc>
          <w:tcPr>
            <w:tcW w:w="2920" w:type="dxa"/>
            <w:vAlign w:val="bottom"/>
          </w:tcPr>
          <w:p>
            <w:pPr>
              <w:jc w:val="center"/>
              <w:spacing w:after="0" w:line="215" w:lineRule="exact"/>
              <w:rPr>
                <w:sz w:val="20"/>
                <w:szCs w:val="20"/>
                <w:color w:val="auto"/>
              </w:rPr>
            </w:pPr>
            <w:r>
              <w:rPr>
                <w:rFonts w:ascii="Calibri" w:cs="Calibri" w:eastAsia="Calibri" w:hAnsi="Calibri"/>
                <w:sz w:val="18"/>
                <w:szCs w:val="18"/>
                <w:color w:val="auto"/>
              </w:rPr>
              <w:t>3-4</w:t>
            </w:r>
          </w:p>
        </w:tc>
        <w:tc>
          <w:tcPr>
            <w:tcW w:w="100" w:type="dxa"/>
            <w:vAlign w:val="bottom"/>
          </w:tcPr>
          <w:p>
            <w:pPr>
              <w:spacing w:after="0"/>
              <w:rPr>
                <w:sz w:val="18"/>
                <w:szCs w:val="18"/>
                <w:color w:val="auto"/>
              </w:rPr>
            </w:pPr>
          </w:p>
        </w:tc>
        <w:tc>
          <w:tcPr>
            <w:tcW w:w="2780" w:type="dxa"/>
            <w:vAlign w:val="bottom"/>
            <w:gridSpan w:val="2"/>
          </w:tcPr>
          <w:p>
            <w:pPr>
              <w:jc w:val="center"/>
              <w:ind w:right="120"/>
              <w:spacing w:after="0" w:line="215" w:lineRule="exact"/>
              <w:rPr>
                <w:sz w:val="20"/>
                <w:szCs w:val="20"/>
                <w:color w:val="auto"/>
              </w:rPr>
            </w:pPr>
            <w:r>
              <w:rPr>
                <w:rFonts w:ascii="Calibri" w:cs="Calibri" w:eastAsia="Calibri" w:hAnsi="Calibri"/>
                <w:sz w:val="18"/>
                <w:szCs w:val="18"/>
                <w:color w:val="auto"/>
                <w:w w:val="99"/>
              </w:rPr>
              <w:t>32% (n=26)</w:t>
            </w:r>
          </w:p>
        </w:tc>
        <w:tc>
          <w:tcPr>
            <w:tcW w:w="2560" w:type="dxa"/>
            <w:vAlign w:val="bottom"/>
          </w:tcPr>
          <w:p>
            <w:pPr>
              <w:jc w:val="center"/>
              <w:spacing w:after="0" w:line="215" w:lineRule="exact"/>
              <w:rPr>
                <w:sz w:val="20"/>
                <w:szCs w:val="20"/>
                <w:color w:val="auto"/>
              </w:rPr>
            </w:pPr>
            <w:r>
              <w:rPr>
                <w:rFonts w:ascii="Calibri" w:cs="Calibri" w:eastAsia="Calibri" w:hAnsi="Calibri"/>
                <w:sz w:val="18"/>
                <w:szCs w:val="18"/>
                <w:color w:val="auto"/>
                <w:w w:val="96"/>
              </w:rPr>
              <w:t>28% (n=22)</w:t>
            </w:r>
          </w:p>
        </w:tc>
        <w:tc>
          <w:tcPr>
            <w:tcW w:w="0" w:type="dxa"/>
            <w:vAlign w:val="bottom"/>
          </w:tcPr>
          <w:p>
            <w:pPr>
              <w:spacing w:after="0"/>
              <w:rPr>
                <w:sz w:val="1"/>
                <w:szCs w:val="1"/>
                <w:color w:val="auto"/>
              </w:rPr>
            </w:pPr>
          </w:p>
        </w:tc>
      </w:tr>
      <w:tr>
        <w:trPr>
          <w:trHeight w:val="216"/>
        </w:trPr>
        <w:tc>
          <w:tcPr>
            <w:tcW w:w="2920" w:type="dxa"/>
            <w:vAlign w:val="bottom"/>
          </w:tcPr>
          <w:p>
            <w:pPr>
              <w:jc w:val="center"/>
              <w:spacing w:after="0" w:line="216" w:lineRule="exact"/>
              <w:rPr>
                <w:sz w:val="20"/>
                <w:szCs w:val="20"/>
                <w:color w:val="auto"/>
              </w:rPr>
            </w:pPr>
            <w:r>
              <w:rPr>
                <w:rFonts w:ascii="Calibri" w:cs="Calibri" w:eastAsia="Calibri" w:hAnsi="Calibri"/>
                <w:sz w:val="18"/>
                <w:szCs w:val="18"/>
                <w:color w:val="auto"/>
                <w:w w:val="99"/>
              </w:rPr>
              <w:t>5+</w:t>
            </w:r>
          </w:p>
        </w:tc>
        <w:tc>
          <w:tcPr>
            <w:tcW w:w="100" w:type="dxa"/>
            <w:vAlign w:val="bottom"/>
          </w:tcPr>
          <w:p>
            <w:pPr>
              <w:spacing w:after="0"/>
              <w:rPr>
                <w:sz w:val="18"/>
                <w:szCs w:val="18"/>
                <w:color w:val="auto"/>
              </w:rPr>
            </w:pPr>
          </w:p>
        </w:tc>
        <w:tc>
          <w:tcPr>
            <w:tcW w:w="2780" w:type="dxa"/>
            <w:vAlign w:val="bottom"/>
            <w:gridSpan w:val="2"/>
          </w:tcPr>
          <w:p>
            <w:pPr>
              <w:jc w:val="center"/>
              <w:ind w:right="120"/>
              <w:spacing w:after="0" w:line="216" w:lineRule="exact"/>
              <w:rPr>
                <w:sz w:val="20"/>
                <w:szCs w:val="20"/>
                <w:color w:val="auto"/>
              </w:rPr>
            </w:pPr>
            <w:r>
              <w:rPr>
                <w:rFonts w:ascii="Calibri" w:cs="Calibri" w:eastAsia="Calibri" w:hAnsi="Calibri"/>
                <w:sz w:val="18"/>
                <w:szCs w:val="18"/>
                <w:color w:val="auto"/>
                <w:w w:val="99"/>
              </w:rPr>
              <w:t>29% (n=16)</w:t>
            </w:r>
          </w:p>
        </w:tc>
        <w:tc>
          <w:tcPr>
            <w:tcW w:w="2560" w:type="dxa"/>
            <w:vAlign w:val="bottom"/>
          </w:tcPr>
          <w:p>
            <w:pPr>
              <w:jc w:val="center"/>
              <w:spacing w:after="0" w:line="216" w:lineRule="exact"/>
              <w:rPr>
                <w:sz w:val="20"/>
                <w:szCs w:val="20"/>
                <w:color w:val="auto"/>
              </w:rPr>
            </w:pPr>
            <w:r>
              <w:rPr>
                <w:rFonts w:ascii="Calibri" w:cs="Calibri" w:eastAsia="Calibri" w:hAnsi="Calibri"/>
                <w:sz w:val="18"/>
                <w:szCs w:val="18"/>
                <w:color w:val="auto"/>
                <w:w w:val="96"/>
              </w:rPr>
              <w:t>29% (n=15)</w:t>
            </w:r>
          </w:p>
        </w:tc>
        <w:tc>
          <w:tcPr>
            <w:tcW w:w="0" w:type="dxa"/>
            <w:vAlign w:val="bottom"/>
          </w:tcPr>
          <w:p>
            <w:pPr>
              <w:spacing w:after="0"/>
              <w:rPr>
                <w:sz w:val="1"/>
                <w:szCs w:val="1"/>
                <w:color w:val="auto"/>
              </w:rPr>
            </w:pPr>
          </w:p>
        </w:tc>
      </w:tr>
    </w:tbl>
    <w:p>
      <w:pPr>
        <w:spacing w:after="0" w:line="32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ELVN-001’s Safety Profle Consistent with High Selectvity for ABL1</w:t>
      </w:r>
    </w:p>
    <w:p>
      <w:pPr>
        <w:spacing w:after="0" w:line="118" w:lineRule="exact"/>
        <w:rPr>
          <w:sz w:val="20"/>
          <w:szCs w:val="20"/>
          <w:color w:val="auto"/>
        </w:rPr>
      </w:pPr>
    </w:p>
    <w:p>
      <w:pPr>
        <w:ind w:left="960" w:hanging="424"/>
        <w:spacing w:after="0"/>
        <w:tabs>
          <w:tab w:leader="none" w:pos="960"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ELVN-001 was generally well-tolerated, consistent with its high selectvity.</w:t>
      </w:r>
    </w:p>
    <w:p>
      <w:pPr>
        <w:spacing w:after="0" w:line="117" w:lineRule="exact"/>
        <w:rPr>
          <w:rFonts w:ascii="Calibri" w:cs="Calibri" w:eastAsia="Calibri" w:hAnsi="Calibri"/>
          <w:sz w:val="18"/>
          <w:szCs w:val="18"/>
          <w:color w:val="auto"/>
        </w:rPr>
      </w:pPr>
    </w:p>
    <w:p>
      <w:pPr>
        <w:ind w:left="960" w:hanging="424"/>
        <w:spacing w:after="0"/>
        <w:tabs>
          <w:tab w:leader="none" w:pos="960"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6% of patents discontnued due to adverse events.</w:t>
      </w:r>
    </w:p>
    <w:p>
      <w:pPr>
        <w:spacing w:after="0" w:line="117" w:lineRule="exact"/>
        <w:rPr>
          <w:rFonts w:ascii="Calibri" w:cs="Calibri" w:eastAsia="Calibri" w:hAnsi="Calibri"/>
          <w:sz w:val="18"/>
          <w:szCs w:val="18"/>
          <w:color w:val="auto"/>
        </w:rPr>
      </w:pPr>
    </w:p>
    <w:p>
      <w:pPr>
        <w:ind w:left="960" w:hanging="424"/>
        <w:spacing w:after="0"/>
        <w:tabs>
          <w:tab w:leader="none" w:pos="960"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The majority of treatment-emergent adverse events (TEAEs) were Grade 1 or 2.</w:t>
      </w:r>
    </w:p>
    <w:p>
      <w:pPr>
        <w:spacing w:after="0" w:line="126" w:lineRule="exact"/>
        <w:rPr>
          <w:rFonts w:ascii="Calibri" w:cs="Calibri" w:eastAsia="Calibri" w:hAnsi="Calibri"/>
          <w:sz w:val="18"/>
          <w:szCs w:val="18"/>
          <w:color w:val="auto"/>
        </w:rPr>
      </w:pPr>
    </w:p>
    <w:p>
      <w:pPr>
        <w:ind w:left="960" w:right="100" w:hanging="424"/>
        <w:spacing w:after="0"/>
        <w:tabs>
          <w:tab w:leader="none" w:pos="960"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 xml:space="preserve">Grade </w:t>
      </w:r>
      <w:r>
        <w:rPr>
          <w:rFonts w:ascii="Times New Roman" w:cs="Times New Roman" w:eastAsia="Times New Roman" w:hAnsi="Times New Roman"/>
          <w:sz w:val="18"/>
          <w:szCs w:val="18"/>
          <w:color w:val="auto"/>
        </w:rPr>
        <w:t>≥</w:t>
      </w:r>
      <w:r>
        <w:rPr>
          <w:rFonts w:ascii="Calibri" w:cs="Calibri" w:eastAsia="Calibri" w:hAnsi="Calibri"/>
          <w:sz w:val="18"/>
          <w:szCs w:val="18"/>
          <w:color w:val="auto"/>
        </w:rPr>
        <w:t>3 TEAEs were reported in 53/158 (34%) patents overall; with thrombocytopenia (6%), neutropenia (6%) and lipase elevaton (6%) as the most common.</w:t>
      </w:r>
    </w:p>
    <w:p>
      <w:pPr>
        <w:spacing w:after="0" w:line="127" w:lineRule="exact"/>
        <w:rPr>
          <w:rFonts w:ascii="Calibri" w:cs="Calibri" w:eastAsia="Calibri" w:hAnsi="Calibri"/>
          <w:sz w:val="18"/>
          <w:szCs w:val="18"/>
          <w:color w:val="auto"/>
        </w:rPr>
      </w:pPr>
    </w:p>
    <w:p>
      <w:pPr>
        <w:ind w:left="1420" w:right="200" w:hanging="331"/>
        <w:spacing w:after="0" w:line="266" w:lineRule="auto"/>
        <w:tabs>
          <w:tab w:leader="none" w:pos="1420" w:val="left"/>
        </w:tabs>
        <w:numPr>
          <w:ilvl w:val="1"/>
          <w:numId w:val="6"/>
        </w:numPr>
        <w:rPr>
          <w:rFonts w:ascii="Calibri" w:cs="Calibri" w:eastAsia="Calibri" w:hAnsi="Calibri"/>
          <w:sz w:val="18"/>
          <w:szCs w:val="18"/>
          <w:color w:val="auto"/>
        </w:rPr>
      </w:pPr>
      <w:r>
        <w:rPr>
          <w:rFonts w:ascii="Calibri" w:cs="Calibri" w:eastAsia="Calibri" w:hAnsi="Calibri"/>
          <w:sz w:val="18"/>
          <w:szCs w:val="18"/>
          <w:color w:val="auto"/>
        </w:rPr>
        <w:t xml:space="preserve">At the biologically optmal dose of 80 mg QD (n=62), Grade </w:t>
      </w:r>
      <w:r>
        <w:rPr>
          <w:rFonts w:ascii="Times New Roman" w:cs="Times New Roman" w:eastAsia="Times New Roman" w:hAnsi="Times New Roman"/>
          <w:sz w:val="18"/>
          <w:szCs w:val="18"/>
          <w:color w:val="auto"/>
        </w:rPr>
        <w:t>≥</w:t>
      </w:r>
      <w:r>
        <w:rPr>
          <w:rFonts w:ascii="Calibri" w:cs="Calibri" w:eastAsia="Calibri" w:hAnsi="Calibri"/>
          <w:sz w:val="18"/>
          <w:szCs w:val="18"/>
          <w:color w:val="auto"/>
        </w:rPr>
        <w:t xml:space="preserve">3 TEAEs were reported in 15/62 (24%) patents, with thrombocytopenia (6%) being the only Grade </w:t>
      </w:r>
      <w:r>
        <w:rPr>
          <w:rFonts w:ascii="Times New Roman" w:cs="Times New Roman" w:eastAsia="Times New Roman" w:hAnsi="Times New Roman"/>
          <w:sz w:val="18"/>
          <w:szCs w:val="18"/>
          <w:color w:val="auto"/>
        </w:rPr>
        <w:t>≥</w:t>
      </w:r>
      <w:r>
        <w:rPr>
          <w:rFonts w:ascii="Calibri" w:cs="Calibri" w:eastAsia="Calibri" w:hAnsi="Calibri"/>
          <w:sz w:val="18"/>
          <w:szCs w:val="18"/>
          <w:color w:val="auto"/>
        </w:rPr>
        <w:t>3 TEAE reported in &gt;5% of patents.</w:t>
      </w:r>
    </w:p>
    <w:p>
      <w:pPr>
        <w:spacing w:after="0" w:line="287" w:lineRule="exact"/>
        <w:rPr>
          <w:sz w:val="20"/>
          <w:szCs w:val="20"/>
          <w:color w:val="auto"/>
        </w:rPr>
      </w:pPr>
    </w:p>
    <w:p>
      <w:pPr>
        <w:spacing w:after="0"/>
        <w:rPr>
          <w:sz w:val="20"/>
          <w:szCs w:val="20"/>
          <w:color w:val="auto"/>
        </w:rPr>
      </w:pPr>
      <w:r>
        <w:rPr>
          <w:rFonts w:ascii="Calibri" w:cs="Calibri" w:eastAsia="Calibri" w:hAnsi="Calibri"/>
          <w:sz w:val="18"/>
          <w:szCs w:val="18"/>
          <w:b w:val="1"/>
          <w:bCs w:val="1"/>
          <w:u w:val="single" w:color="auto"/>
          <w:color w:val="auto"/>
        </w:rPr>
        <w:t>Key Outcomes from the End-of-Phase 1 Meetng with the FDA</w:t>
      </w:r>
    </w:p>
    <w:p>
      <w:pPr>
        <w:spacing w:after="0" w:line="118" w:lineRule="exact"/>
        <w:rPr>
          <w:sz w:val="20"/>
          <w:szCs w:val="20"/>
          <w:color w:val="auto"/>
        </w:rPr>
      </w:pPr>
    </w:p>
    <w:p>
      <w:pPr>
        <w:ind w:left="960" w:hanging="424"/>
        <w:spacing w:after="0"/>
        <w:tabs>
          <w:tab w:leader="none" w:pos="960" w:val="left"/>
        </w:tabs>
        <w:numPr>
          <w:ilvl w:val="0"/>
          <w:numId w:val="7"/>
        </w:numPr>
        <w:rPr>
          <w:rFonts w:ascii="Calibri" w:cs="Calibri" w:eastAsia="Calibri" w:hAnsi="Calibri"/>
          <w:sz w:val="18"/>
          <w:szCs w:val="18"/>
          <w:color w:val="auto"/>
        </w:rPr>
      </w:pPr>
      <w:r>
        <w:rPr>
          <w:rFonts w:ascii="Calibri" w:cs="Calibri" w:eastAsia="Calibri" w:hAnsi="Calibri"/>
          <w:sz w:val="18"/>
          <w:szCs w:val="18"/>
          <w:color w:val="auto"/>
        </w:rPr>
        <w:t>80 mg QD selected as the recommended dose for Phase 3 ENABLE-2 trial.</w:t>
      </w:r>
    </w:p>
    <w:p>
      <w:pPr>
        <w:spacing w:after="0" w:line="122" w:lineRule="exact"/>
        <w:rPr>
          <w:rFonts w:ascii="Calibri" w:cs="Calibri" w:eastAsia="Calibri" w:hAnsi="Calibri"/>
          <w:sz w:val="18"/>
          <w:szCs w:val="18"/>
          <w:color w:val="auto"/>
        </w:rPr>
      </w:pPr>
    </w:p>
    <w:p>
      <w:pPr>
        <w:ind w:left="960" w:right="20" w:hanging="424"/>
        <w:spacing w:after="0" w:line="235" w:lineRule="auto"/>
        <w:tabs>
          <w:tab w:leader="none" w:pos="960" w:val="left"/>
        </w:tabs>
        <w:numPr>
          <w:ilvl w:val="0"/>
          <w:numId w:val="7"/>
        </w:numPr>
        <w:rPr>
          <w:rFonts w:ascii="Calibri" w:cs="Calibri" w:eastAsia="Calibri" w:hAnsi="Calibri"/>
          <w:sz w:val="18"/>
          <w:szCs w:val="18"/>
          <w:color w:val="auto"/>
        </w:rPr>
      </w:pPr>
      <w:r>
        <w:rPr>
          <w:rFonts w:ascii="Calibri" w:cs="Calibri" w:eastAsia="Calibri" w:hAnsi="Calibri"/>
          <w:sz w:val="18"/>
          <w:szCs w:val="18"/>
          <w:color w:val="auto"/>
        </w:rPr>
        <w:t>ENABLE-2 is expected to enroll patents with CML previously treated with one or more TKIs, and to be randomized to receive either ELVN-001 or physician’s choice of an ATP-compettve TKI.</w:t>
      </w:r>
    </w:p>
    <w:p>
      <w:pPr>
        <w:spacing w:after="0" w:line="123" w:lineRule="exact"/>
        <w:rPr>
          <w:rFonts w:ascii="Calibri" w:cs="Calibri" w:eastAsia="Calibri" w:hAnsi="Calibri"/>
          <w:sz w:val="18"/>
          <w:szCs w:val="18"/>
          <w:color w:val="auto"/>
        </w:rPr>
      </w:pPr>
    </w:p>
    <w:p>
      <w:pPr>
        <w:ind w:left="960" w:right="220" w:hanging="424"/>
        <w:spacing w:after="0" w:line="235" w:lineRule="auto"/>
        <w:tabs>
          <w:tab w:leader="none" w:pos="960" w:val="left"/>
        </w:tabs>
        <w:numPr>
          <w:ilvl w:val="0"/>
          <w:numId w:val="7"/>
        </w:numPr>
        <w:rPr>
          <w:rFonts w:ascii="Calibri" w:cs="Calibri" w:eastAsia="Calibri" w:hAnsi="Calibri"/>
          <w:sz w:val="18"/>
          <w:szCs w:val="18"/>
          <w:color w:val="auto"/>
        </w:rPr>
      </w:pPr>
      <w:r>
        <w:rPr>
          <w:rFonts w:ascii="Calibri" w:cs="Calibri" w:eastAsia="Calibri" w:hAnsi="Calibri"/>
          <w:sz w:val="18"/>
          <w:szCs w:val="18"/>
          <w:color w:val="auto"/>
        </w:rPr>
        <w:t>Additonal details of the Phase 3 trial design are expected to be fnalized following further discussions with the FDA, including at a planned End-of-Phase 2 meetng antcipated in the third quarter of 2026.</w:t>
      </w:r>
    </w:p>
    <w:p>
      <w:pPr>
        <w:spacing w:after="0" w:line="32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Cautonary Note Regarding Forward-Looking Statements</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This Current Report on Form 8-K contains forward-looking statements (including within the meaning of Secton 21E of the Securites Exchange Act of 1934, as amended, and Secton 27A of the Securites Act of 1933, as amended) concerning the Company and other maters that involve substantal risks and uncertaintes. These statements may discuss goals, intentons and expectatons as to future plans, trends, events, results of operatons and fnancial conditon, or otherwise, based on current beliefs of the management of the Company, as well as assumptons made by, and informaton currently available to, management of the Company. Forward-looking statements generally include statements that are predictve in nature and depend upon or refer to future events or conditons, and include words such as “may,” “will,” “should,” “would,” “expect,” “antcipate,” “plan,” “likely,” “believe,” “estmate,” “project,” “intend,” and other similar expressions or the negatve or plural of these words, or other similar expressions that are predictons or indicate future events or prospects, although not all forward-looking statements contain these words. Statements that are not historical facts are forward-looking statements. Forward-looking statements in this Current Report on Form 8-K include, but are not limited to: statements regarding the potental profle, actvity, selectvity, safety, tolerability, efcacy, diferentated atributes, therapeutc beneft and potental best-in-class or complementary profle of ELVN-001 to allosteric inhibitors; the interpretaton of data from the ongoing ENABLE trial, including MMR rate, safety and tolerability data; comparisons to historical or precedent clinical trial results; the tming, content and availability of additonal clinical data and presentaton materials; the contnued conduct, design, objectves, endpoints, dose selecton and future clinical evaluaton of ELVN-001, including the planned ENABLE-2 Phase 3 trial, the potental tming of initaton of ENABLE-2, the potental tming and outcome of further FDA discussions and the fnalizaton of additonal Phase 3 trial design details; and statements by the Company’s Chief Medical Ofcer and Dennis Kim, M.D., Professor of Medicine, Department of Medical Oncology and Hematology at the Princess Margaret Cancer Centre, Canada. Forward-looking statements are based on current beliefs and assumptons that are subject to risks and uncertaintes and are not guarantees of future performance. Actual results could difer materially from those contained in any forward-looking statement as a result of various risks and uncertaintes, including, without limitaton: the potental for interim, topline and preliminary results from the Company’s clinical trials to materially change as additonal patent data become available or following more comprehensive review; the potental for results from the ongoing or any future clinical trial of ELVN-001 to difer from the results of earlier trials of ELVN-001; ELVN-001 failing to demonstrate sufcient safety, efcacy, tolerability, durability, diferentated atributes or therapeutc beneft in current or future clinical trials; risks associated with unexpected events during the remainder of the ENABLE trial, including serious adverse events, toxicites, dose reductons, discontnuatons or other undesirable side efects;</w:t>
      </w:r>
    </w:p>
    <w:p>
      <w:pPr>
        <w:sectPr>
          <w:pgSz w:w="11900" w:h="16838" w:orient="portrait"/>
          <w:cols w:equalWidth="0" w:num="1">
            <w:col w:w="11020"/>
          </w:cols>
          <w:pgMar w:left="440" w:top="288" w:right="439" w:bottom="1440" w:gutter="0" w:footer="0" w:header="0"/>
        </w:sectPr>
      </w:pPr>
    </w:p>
    <w:bookmarkStart w:id="3" w:name="page4"/>
    <w:bookmarkEnd w:id="3"/>
    <w:p>
      <w:pPr>
        <w:spacing w:after="0" w:line="250" w:lineRule="auto"/>
        <w:rPr>
          <w:sz w:val="20"/>
          <w:szCs w:val="20"/>
          <w:color w:val="auto"/>
        </w:rPr>
      </w:pPr>
      <w:r>
        <w:rPr>
          <w:rFonts w:ascii="Calibri" w:cs="Calibri" w:eastAsia="Calibri" w:hAnsi="Calibri"/>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delays or difcultes in recruitng, enrolling or maintaining patents in ELVN-001 clinical trials; the risks of delays in completng the ongoing ENABLE trial or initatng ENABLE-2; the Company failing to complete the ongoing ENABLE trial, to present additonal data, to initate ENABLE-2 or to advance ELVN-001 through clinical development; regulatory authorites disagreeing with the Company’s clinical trial design, dose selecton, endpoints or interpretaton of data, or requiring additonal studies or diagnostcs; lack of reliability of cross-trial comparisons because the referenced data are derived from diferent clinical trials at diferent points in tme, with diferences in trial design and patent populatons, and results may difer in head-to-head studies; developments relatng to the Company’s compettors and industry which may afect the development or potental market opportunity for ELVN-001; and the potental inability of the Company to obtain regulatory approval for, or ultmately commercialize or license, ELVN-001 or other product candidates; the Company’s limited resources; the ability to atract, hire, and retain highly skilled executve ofcers and employees; the ability of the Company to protect its intellectual property and proprietary technologies; the scope of any patent protecton the Company obtains or the loss of any of the Company’s patent protecton; reliance on third partes, including medical insttutons, contract manufacturing organizatons, contract research organizatons and strategic partners; geo-politcal developments, general market or macroeconomic conditons; the Company’s ability to obtain additonal capital to fund the Company’s general corporate actvites and to fund the Company’s research and development; and other risks and uncertaintes more fully described in the Company’s flings with the Securites and Exchange Commission (“SEC”), including under the heading “Risk Factors” in the Company’s Annual and Quarterly Reports on Form 10-K and Form 10-Q fled with the SEC and in the Company’s future SEC flings. Except as required by applicable law, the Company undertakes no obligaton to revise or update any forward-looking statement, or to make any other forward-looking statements, whether as a result of new informaton, future events or otherwise. However, readers should carefully review the reports and documents the Company fles or furnishes from tme to tme with the SEC, partcularly its Annual Reports on Form 10-K, Quarterly Reports on Form 10-Q, and Current Reports on Form 8-K.</w:t>
      </w:r>
    </w:p>
    <w:p>
      <w:pPr>
        <w:spacing w:after="0" w:line="31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Head-to-Head Comparisons</w:t>
      </w:r>
    </w:p>
    <w:p>
      <w:pPr>
        <w:spacing w:after="0" w:line="109" w:lineRule="exact"/>
        <w:rPr>
          <w:sz w:val="20"/>
          <w:szCs w:val="20"/>
          <w:color w:val="auto"/>
        </w:rPr>
      </w:pPr>
    </w:p>
    <w:p>
      <w:pPr>
        <w:jc w:val="both"/>
        <w:ind w:right="360"/>
        <w:spacing w:after="0" w:line="235" w:lineRule="auto"/>
        <w:rPr>
          <w:sz w:val="20"/>
          <w:szCs w:val="20"/>
          <w:color w:val="auto"/>
        </w:rPr>
      </w:pPr>
      <w:r>
        <w:rPr>
          <w:rFonts w:ascii="Calibri" w:cs="Calibri" w:eastAsia="Calibri" w:hAnsi="Calibri"/>
          <w:sz w:val="18"/>
          <w:szCs w:val="18"/>
          <w:color w:val="auto"/>
        </w:rPr>
        <w:t>The Company has not performed any head-to-head trials for ELVN-001. As a result, the data referenced in this Current Report on Form 8-K are derived from diferent clinical trials at diferent points in tme, with diferences in trial design and patent populatons. As a result, conclusions from cross-trial comparisons cannot be made.</w:t>
      </w:r>
    </w:p>
    <w:p>
      <w:pPr>
        <w:spacing w:after="0" w:line="362" w:lineRule="exact"/>
        <w:rPr>
          <w:sz w:val="20"/>
          <w:szCs w:val="20"/>
          <w:color w:val="auto"/>
        </w:rPr>
      </w:pPr>
    </w:p>
    <w:p>
      <w:pPr>
        <w:spacing w:after="0"/>
        <w:tabs>
          <w:tab w:leader="none" w:pos="1180" w:val="left"/>
        </w:tabs>
        <w:rPr>
          <w:sz w:val="20"/>
          <w:szCs w:val="20"/>
          <w:color w:val="auto"/>
        </w:rPr>
      </w:pPr>
      <w:r>
        <w:rPr>
          <w:rFonts w:ascii="Calibri" w:cs="Calibri" w:eastAsia="Calibri" w:hAnsi="Calibri"/>
          <w:sz w:val="18"/>
          <w:szCs w:val="18"/>
          <w:b w:val="1"/>
          <w:bCs w:val="1"/>
          <w:color w:val="auto"/>
        </w:rPr>
        <w:t>Item 9.01</w:t>
      </w:r>
      <w:r>
        <w:rPr>
          <w:sz w:val="20"/>
          <w:szCs w:val="20"/>
          <w:color w:val="auto"/>
        </w:rPr>
        <w:tab/>
      </w:r>
      <w:r>
        <w:rPr>
          <w:rFonts w:ascii="Calibri" w:cs="Calibri" w:eastAsia="Calibri" w:hAnsi="Calibri"/>
          <w:sz w:val="18"/>
          <w:szCs w:val="18"/>
          <w:b w:val="1"/>
          <w:bCs w:val="1"/>
          <w:color w:val="auto"/>
        </w:rPr>
        <w:t>Financial Statements and Exhibits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(d) Exhibits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See the Exhibit Index below, which is incorporated by reference herein.</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3040" w:type="dxa"/>
            <w:vAlign w:val="bottom"/>
          </w:tcPr>
          <w:p>
            <w:pPr>
              <w:ind w:left="1620"/>
              <w:spacing w:after="0"/>
              <w:rPr>
                <w:sz w:val="20"/>
                <w:szCs w:val="20"/>
                <w:color w:val="auto"/>
              </w:rPr>
            </w:pPr>
            <w:r>
              <w:rPr>
                <w:rFonts w:ascii="Calibri" w:cs="Calibri" w:eastAsia="Calibri" w:hAnsi="Calibri"/>
                <w:sz w:val="18"/>
                <w:szCs w:val="18"/>
                <w:b w:val="1"/>
                <w:bCs w:val="1"/>
                <w:color w:val="auto"/>
              </w:rPr>
              <w:t>EXHIBIT INDEX</w:t>
            </w:r>
          </w:p>
        </w:tc>
      </w:tr>
      <w:tr>
        <w:trPr>
          <w:trHeight w:val="422"/>
        </w:trPr>
        <w:tc>
          <w:tcPr>
            <w:tcW w:w="840" w:type="dxa"/>
            <w:vAlign w:val="bottom"/>
          </w:tcPr>
          <w:p>
            <w:pPr>
              <w:jc w:val="center"/>
              <w:ind w:right="339"/>
              <w:spacing w:after="0"/>
              <w:rPr>
                <w:sz w:val="20"/>
                <w:szCs w:val="20"/>
                <w:color w:val="auto"/>
              </w:rPr>
            </w:pPr>
            <w:r>
              <w:rPr>
                <w:rFonts w:ascii="Calibri" w:cs="Calibri" w:eastAsia="Calibri" w:hAnsi="Calibri"/>
                <w:sz w:val="14"/>
                <w:szCs w:val="14"/>
                <w:b w:val="1"/>
                <w:bCs w:val="1"/>
                <w:color w:val="auto"/>
              </w:rPr>
              <w:t>Exhibit</w:t>
            </w:r>
          </w:p>
        </w:tc>
        <w:tc>
          <w:tcPr>
            <w:tcW w:w="252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189"/>
        </w:trPr>
        <w:tc>
          <w:tcPr>
            <w:tcW w:w="840" w:type="dxa"/>
            <w:vAlign w:val="bottom"/>
          </w:tcPr>
          <w:p>
            <w:pPr>
              <w:jc w:val="center"/>
              <w:ind w:right="339"/>
              <w:spacing w:after="0"/>
              <w:rPr>
                <w:sz w:val="20"/>
                <w:szCs w:val="20"/>
                <w:color w:val="auto"/>
              </w:rPr>
            </w:pPr>
            <w:r>
              <w:rPr>
                <w:rFonts w:ascii="Calibri" w:cs="Calibri" w:eastAsia="Calibri" w:hAnsi="Calibri"/>
                <w:sz w:val="14"/>
                <w:szCs w:val="14"/>
                <w:b w:val="1"/>
                <w:bCs w:val="1"/>
                <w:color w:val="auto"/>
              </w:rPr>
              <w:t>No.</w:t>
            </w:r>
          </w:p>
        </w:tc>
        <w:tc>
          <w:tcPr>
            <w:tcW w:w="5560" w:type="dxa"/>
            <w:vAlign w:val="bottom"/>
            <w:gridSpan w:val="2"/>
          </w:tcPr>
          <w:p>
            <w:pPr>
              <w:spacing w:after="0"/>
              <w:rPr>
                <w:sz w:val="20"/>
                <w:szCs w:val="20"/>
                <w:color w:val="auto"/>
              </w:rPr>
            </w:pPr>
            <w:r>
              <w:rPr>
                <w:rFonts w:ascii="Calibri" w:cs="Calibri" w:eastAsia="Calibri" w:hAnsi="Calibri"/>
                <w:sz w:val="14"/>
                <w:szCs w:val="14"/>
                <w:b w:val="1"/>
                <w:bCs w:val="1"/>
                <w:color w:val="auto"/>
              </w:rPr>
              <w:t>Descripton</w:t>
            </w:r>
          </w:p>
        </w:tc>
      </w:tr>
      <w:tr>
        <w:trPr>
          <w:trHeight w:val="290"/>
        </w:trPr>
        <w:tc>
          <w:tcPr>
            <w:tcW w:w="840" w:type="dxa"/>
            <w:vAlign w:val="bottom"/>
          </w:tcPr>
          <w:p>
            <w:pPr>
              <w:spacing w:after="0"/>
              <w:rPr>
                <w:sz w:val="20"/>
                <w:szCs w:val="20"/>
                <w:color w:val="auto"/>
              </w:rPr>
            </w:pPr>
            <w:r>
              <w:rPr>
                <w:rFonts w:ascii="Calibri" w:cs="Calibri" w:eastAsia="Calibri" w:hAnsi="Calibri"/>
                <w:sz w:val="18"/>
                <w:szCs w:val="18"/>
                <w:color w:val="auto"/>
              </w:rPr>
              <w:t>99.1</w:t>
            </w:r>
          </w:p>
        </w:tc>
        <w:tc>
          <w:tcPr>
            <w:tcW w:w="2520" w:type="dxa"/>
            <w:vAlign w:val="bottom"/>
            <w:tcBorders>
              <w:bottom w:val="single" w:sz="8" w:color="0000EE"/>
            </w:tcBorders>
          </w:tcPr>
          <w:p>
            <w:pPr>
              <w:spacing w:after="0"/>
              <w:rPr>
                <w:sz w:val="20"/>
                <w:szCs w:val="20"/>
                <w:color w:val="auto"/>
              </w:rPr>
            </w:pPr>
            <w:r>
              <w:rPr>
                <w:rFonts w:ascii="Calibri" w:cs="Calibri" w:eastAsia="Calibri" w:hAnsi="Calibri"/>
                <w:sz w:val="18"/>
                <w:szCs w:val="18"/>
                <w:color w:val="0000EE"/>
                <w:w w:val="96"/>
              </w:rPr>
              <w:t>Press Release, dated June 11, 2026.</w:t>
            </w:r>
          </w:p>
        </w:tc>
        <w:tc>
          <w:tcPr>
            <w:tcW w:w="3040" w:type="dxa"/>
            <w:vAlign w:val="bottom"/>
          </w:tcPr>
          <w:p>
            <w:pPr>
              <w:spacing w:after="0"/>
              <w:rPr>
                <w:sz w:val="24"/>
                <w:szCs w:val="24"/>
                <w:color w:val="auto"/>
              </w:rPr>
            </w:pPr>
          </w:p>
        </w:tc>
      </w:tr>
      <w:tr>
        <w:trPr>
          <w:trHeight w:val="335"/>
        </w:trPr>
        <w:tc>
          <w:tcPr>
            <w:tcW w:w="840" w:type="dxa"/>
            <w:vAlign w:val="bottom"/>
          </w:tcPr>
          <w:p>
            <w:pPr>
              <w:spacing w:after="0"/>
              <w:rPr>
                <w:sz w:val="20"/>
                <w:szCs w:val="20"/>
                <w:color w:val="auto"/>
              </w:rPr>
            </w:pPr>
            <w:r>
              <w:rPr>
                <w:rFonts w:ascii="Calibri" w:cs="Calibri" w:eastAsia="Calibri" w:hAnsi="Calibri"/>
                <w:sz w:val="18"/>
                <w:szCs w:val="18"/>
                <w:color w:val="auto"/>
              </w:rPr>
              <w:t>104</w:t>
            </w:r>
          </w:p>
        </w:tc>
        <w:tc>
          <w:tcPr>
            <w:tcW w:w="5560" w:type="dxa"/>
            <w:vAlign w:val="bottom"/>
            <w:gridSpan w:val="2"/>
          </w:tcPr>
          <w:p>
            <w:pPr>
              <w:spacing w:after="0"/>
              <w:rPr>
                <w:sz w:val="20"/>
                <w:szCs w:val="20"/>
                <w:color w:val="auto"/>
              </w:rPr>
            </w:pPr>
            <w:r>
              <w:rPr>
                <w:rFonts w:ascii="Calibri" w:cs="Calibri" w:eastAsia="Calibri" w:hAnsi="Calibri"/>
                <w:sz w:val="18"/>
                <w:szCs w:val="18"/>
                <w:color w:val="auto"/>
                <w:w w:val="97"/>
              </w:rPr>
              <w:t>Cover Page Interactve Data File (embedded within the Inline XBRL document).</w:t>
            </w:r>
          </w:p>
        </w:tc>
      </w:tr>
    </w:tbl>
    <w:p>
      <w:pPr>
        <w:sectPr>
          <w:pgSz w:w="11900" w:h="16838" w:orient="portrait"/>
          <w:cols w:equalWidth="0" w:num="1">
            <w:col w:w="11000"/>
          </w:cols>
          <w:pgMar w:left="440" w:top="293" w:right="459" w:bottom="1440" w:gutter="0" w:footer="0" w:header="0"/>
        </w:sectPr>
      </w:pPr>
    </w:p>
    <w:bookmarkStart w:id="4" w:name="page5"/>
    <w:bookmarkEnd w:id="4"/>
    <w:p>
      <w:pPr>
        <w:jc w:val="center"/>
        <w:spacing w:after="0"/>
        <w:rPr>
          <w:sz w:val="20"/>
          <w:szCs w:val="20"/>
          <w:color w:val="auto"/>
        </w:rPr>
      </w:pPr>
      <w:r>
        <w:rPr>
          <w:rFonts w:ascii="Calibri" w:cs="Calibri" w:eastAsia="Calibri" w:hAnsi="Calibri"/>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17" w:lineRule="exact"/>
        <w:rPr>
          <w:sz w:val="20"/>
          <w:szCs w:val="20"/>
          <w:color w:val="auto"/>
        </w:rPr>
      </w:pPr>
    </w:p>
    <w:p>
      <w:pPr>
        <w:ind w:right="840"/>
        <w:spacing w:after="0" w:line="235" w:lineRule="auto"/>
        <w:rPr>
          <w:sz w:val="20"/>
          <w:szCs w:val="20"/>
          <w:color w:val="auto"/>
        </w:rPr>
      </w:pPr>
      <w:r>
        <w:rPr>
          <w:rFonts w:ascii="Calibri" w:cs="Calibri" w:eastAsia="Calibri" w:hAnsi="Calibri"/>
          <w:sz w:val="18"/>
          <w:szCs w:val="18"/>
          <w:color w:val="auto"/>
        </w:rPr>
        <w:t>Pursuant to the requirements of the Securites Exchange Act of 1934, the registrant has duly caused this report to be signed on its behalf by the undersigned hereunto duly authorized.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Calibri" w:cs="Calibri" w:eastAsia="Calibri" w:hAnsi="Calibri"/>
                <w:sz w:val="18"/>
                <w:szCs w:val="18"/>
                <w:b w:val="1"/>
                <w:bCs w:val="1"/>
                <w:color w:val="auto"/>
              </w:rPr>
              <w:t>Enliven Therapeutcs, Inc.</w:t>
            </w:r>
          </w:p>
        </w:tc>
      </w:tr>
      <w:tr>
        <w:trPr>
          <w:trHeight w:val="456"/>
        </w:trPr>
        <w:tc>
          <w:tcPr>
            <w:tcW w:w="3460" w:type="dxa"/>
            <w:vAlign w:val="bottom"/>
          </w:tcPr>
          <w:p>
            <w:pPr>
              <w:spacing w:after="0"/>
              <w:rPr>
                <w:sz w:val="20"/>
                <w:szCs w:val="20"/>
                <w:color w:val="auto"/>
              </w:rPr>
            </w:pPr>
            <w:r>
              <w:rPr>
                <w:rFonts w:ascii="Calibri" w:cs="Calibri" w:eastAsia="Calibri" w:hAnsi="Calibri"/>
                <w:sz w:val="18"/>
                <w:szCs w:val="18"/>
                <w:color w:val="auto"/>
              </w:rPr>
              <w:t>Date: June 11, 2026</w:t>
            </w:r>
          </w:p>
        </w:tc>
        <w:tc>
          <w:tcPr>
            <w:tcW w:w="2700" w:type="dxa"/>
            <w:vAlign w:val="bottom"/>
          </w:tcPr>
          <w:p>
            <w:pPr>
              <w:ind w:left="2060"/>
              <w:spacing w:after="0"/>
              <w:rPr>
                <w:sz w:val="20"/>
                <w:szCs w:val="20"/>
                <w:color w:val="auto"/>
              </w:rPr>
            </w:pPr>
            <w:r>
              <w:rPr>
                <w:rFonts w:ascii="Calibri" w:cs="Calibri" w:eastAsia="Calibri" w:hAnsi="Calibri"/>
                <w:sz w:val="18"/>
                <w:szCs w:val="18"/>
                <w:color w:val="auto"/>
              </w:rPr>
              <w:t>By:</w:t>
            </w:r>
          </w:p>
        </w:tc>
        <w:tc>
          <w:tcPr>
            <w:tcW w:w="4860" w:type="dxa"/>
            <w:vAlign w:val="bottom"/>
            <w:tcBorders>
              <w:bottom w:val="single" w:sz="8" w:color="auto"/>
            </w:tcBorders>
          </w:tcPr>
          <w:p>
            <w:pPr>
              <w:spacing w:after="0"/>
              <w:rPr>
                <w:sz w:val="20"/>
                <w:szCs w:val="20"/>
                <w:color w:val="auto"/>
              </w:rPr>
            </w:pPr>
            <w:r>
              <w:rPr>
                <w:rFonts w:ascii="Calibri" w:cs="Calibri" w:eastAsia="Calibri" w:hAnsi="Calibri"/>
                <w:sz w:val="18"/>
                <w:szCs w:val="18"/>
                <w:color w:val="auto"/>
              </w:rPr>
              <w:t>/s/ Benjamin Hohl</w:t>
            </w:r>
          </w:p>
        </w:tc>
      </w:tr>
      <w:tr>
        <w:trPr>
          <w:trHeight w:val="201"/>
        </w:trPr>
        <w:tc>
          <w:tcPr>
            <w:tcW w:w="3460" w:type="dxa"/>
            <w:vAlign w:val="bottom"/>
          </w:tcPr>
          <w:p>
            <w:pPr>
              <w:spacing w:after="0"/>
              <w:rPr>
                <w:sz w:val="17"/>
                <w:szCs w:val="17"/>
                <w:color w:val="auto"/>
              </w:rPr>
            </w:pPr>
          </w:p>
        </w:tc>
        <w:tc>
          <w:tcPr>
            <w:tcW w:w="2700" w:type="dxa"/>
            <w:vAlign w:val="bottom"/>
          </w:tcPr>
          <w:p>
            <w:pPr>
              <w:ind w:left="2060"/>
              <w:spacing w:after="0" w:line="199" w:lineRule="exact"/>
              <w:rPr>
                <w:sz w:val="20"/>
                <w:szCs w:val="20"/>
                <w:color w:val="auto"/>
              </w:rPr>
            </w:pPr>
            <w:r>
              <w:rPr>
                <w:rFonts w:ascii="Calibri" w:cs="Calibri" w:eastAsia="Calibri" w:hAnsi="Calibri"/>
                <w:sz w:val="18"/>
                <w:szCs w:val="18"/>
                <w:color w:val="auto"/>
              </w:rPr>
              <w:t>Name:</w:t>
            </w:r>
          </w:p>
        </w:tc>
        <w:tc>
          <w:tcPr>
            <w:tcW w:w="4860" w:type="dxa"/>
            <w:vAlign w:val="bottom"/>
          </w:tcPr>
          <w:p>
            <w:pPr>
              <w:spacing w:after="0" w:line="201" w:lineRule="exact"/>
              <w:rPr>
                <w:sz w:val="20"/>
                <w:szCs w:val="20"/>
                <w:color w:val="auto"/>
              </w:rPr>
            </w:pPr>
            <w:r>
              <w:rPr>
                <w:rFonts w:ascii="Calibri" w:cs="Calibri" w:eastAsia="Calibri" w:hAnsi="Calibri"/>
                <w:sz w:val="18"/>
                <w:szCs w:val="18"/>
                <w:color w:val="auto"/>
              </w:rPr>
              <w:t>Benjamin Hohl</w:t>
            </w:r>
          </w:p>
        </w:tc>
      </w:tr>
      <w:tr>
        <w:trPr>
          <w:trHeight w:val="215"/>
        </w:trPr>
        <w:tc>
          <w:tcPr>
            <w:tcW w:w="3460" w:type="dxa"/>
            <w:vAlign w:val="bottom"/>
          </w:tcPr>
          <w:p>
            <w:pPr>
              <w:spacing w:after="0"/>
              <w:rPr>
                <w:sz w:val="18"/>
                <w:szCs w:val="18"/>
                <w:color w:val="auto"/>
              </w:rPr>
            </w:pPr>
          </w:p>
        </w:tc>
        <w:tc>
          <w:tcPr>
            <w:tcW w:w="2700" w:type="dxa"/>
            <w:vAlign w:val="bottom"/>
          </w:tcPr>
          <w:p>
            <w:pPr>
              <w:ind w:left="2060"/>
              <w:spacing w:after="0" w:line="215" w:lineRule="exact"/>
              <w:rPr>
                <w:sz w:val="20"/>
                <w:szCs w:val="20"/>
                <w:color w:val="auto"/>
              </w:rPr>
            </w:pPr>
            <w:r>
              <w:rPr>
                <w:rFonts w:ascii="Calibri" w:cs="Calibri" w:eastAsia="Calibri" w:hAnsi="Calibri"/>
                <w:sz w:val="18"/>
                <w:szCs w:val="18"/>
                <w:color w:val="auto"/>
              </w:rPr>
              <w:t>Title:</w:t>
            </w:r>
          </w:p>
        </w:tc>
        <w:tc>
          <w:tcPr>
            <w:tcW w:w="4860" w:type="dxa"/>
            <w:vAlign w:val="bottom"/>
          </w:tcPr>
          <w:p>
            <w:pPr>
              <w:spacing w:after="0" w:line="215" w:lineRule="exact"/>
              <w:rPr>
                <w:sz w:val="20"/>
                <w:szCs w:val="20"/>
                <w:color w:val="auto"/>
              </w:rPr>
            </w:pPr>
            <w:r>
              <w:rPr>
                <w:rFonts w:ascii="Calibri" w:cs="Calibri" w:eastAsia="Calibri" w:hAnsi="Calibri"/>
                <w:sz w:val="18"/>
                <w:szCs w:val="18"/>
                <w:color w:val="auto"/>
              </w:rPr>
              <w:t>Chief Financial Ofcer and Head of Corporate Development</w:t>
            </w:r>
          </w:p>
        </w:tc>
      </w:tr>
    </w:tbl>
    <w:p>
      <w:pPr>
        <w:sectPr>
          <w:pgSz w:w="11900" w:h="16838" w:orient="portrait"/>
          <w:cols w:equalWidth="0" w:num="1">
            <w:col w:w="11020"/>
          </w:cols>
          <w:pgMar w:left="440" w:top="288" w:right="439" w:bottom="1440" w:gutter="0" w:footer="0" w:header="0"/>
        </w:sectPr>
      </w:pPr>
    </w:p>
    <w:bookmarkStart w:id="5" w:name="page6"/>
    <w:bookmarkEnd w:id="5"/>
    <w:p>
      <w:pPr>
        <w:jc w:val="right"/>
        <w:spacing w:after="0"/>
        <w:rPr>
          <w:sz w:val="20"/>
          <w:szCs w:val="20"/>
          <w:color w:val="auto"/>
        </w:rPr>
      </w:pPr>
      <w:r>
        <w:rPr>
          <w:rFonts w:ascii="Calibri" w:cs="Calibri" w:eastAsia="Calibri" w:hAnsi="Calibri"/>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977265" cy="548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7726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20"/>
        <w:spacing w:after="0"/>
        <w:rPr>
          <w:sz w:val="20"/>
          <w:szCs w:val="20"/>
          <w:color w:val="auto"/>
        </w:rPr>
      </w:pPr>
      <w:r>
        <w:rPr>
          <w:rFonts w:ascii="Calibri" w:cs="Calibri" w:eastAsia="Calibri" w:hAnsi="Calibri"/>
          <w:sz w:val="18"/>
          <w:szCs w:val="18"/>
          <w:b w:val="1"/>
          <w:bCs w:val="1"/>
          <w:color w:val="auto"/>
        </w:rPr>
        <w:t>Enliven Therapeutcs Announces Updated Positve Phase 1 Clinical Data and Alignment with FDA on Key Phase 3 Trial Design Components</w:t>
      </w:r>
    </w:p>
    <w:p>
      <w:pPr>
        <w:spacing w:after="0" w:line="104" w:lineRule="exact"/>
        <w:rPr>
          <w:sz w:val="20"/>
          <w:szCs w:val="20"/>
          <w:color w:val="auto"/>
        </w:rPr>
      </w:pPr>
    </w:p>
    <w:p>
      <w:pPr>
        <w:ind w:left="2220"/>
        <w:spacing w:after="0"/>
        <w:rPr>
          <w:sz w:val="20"/>
          <w:szCs w:val="20"/>
          <w:color w:val="auto"/>
        </w:rPr>
      </w:pPr>
      <w:r>
        <w:rPr>
          <w:rFonts w:ascii="Calibri" w:cs="Calibri" w:eastAsia="Calibri" w:hAnsi="Calibri"/>
          <w:sz w:val="18"/>
          <w:szCs w:val="18"/>
          <w:i w:val="1"/>
          <w:iCs w:val="1"/>
          <w:color w:val="auto"/>
        </w:rPr>
        <w:t>61% overall MMR and 48% MMR achievement by 24 weeks in the 80 mg QD Phase 1b cohort</w:t>
      </w:r>
    </w:p>
    <w:p>
      <w:pPr>
        <w:spacing w:after="0" w:line="104" w:lineRule="exact"/>
        <w:rPr>
          <w:sz w:val="20"/>
          <w:szCs w:val="20"/>
          <w:color w:val="auto"/>
        </w:rPr>
      </w:pPr>
    </w:p>
    <w:p>
      <w:pPr>
        <w:ind w:left="700"/>
        <w:spacing w:after="0"/>
        <w:rPr>
          <w:sz w:val="20"/>
          <w:szCs w:val="20"/>
          <w:color w:val="auto"/>
        </w:rPr>
      </w:pPr>
      <w:r>
        <w:rPr>
          <w:rFonts w:ascii="Calibri" w:cs="Calibri" w:eastAsia="Calibri" w:hAnsi="Calibri"/>
          <w:sz w:val="18"/>
          <w:szCs w:val="18"/>
          <w:i w:val="1"/>
          <w:iCs w:val="1"/>
          <w:color w:val="auto"/>
        </w:rPr>
        <w:t>67% overall MMR and 55% MMR achievement by 24 weeks in all Phase 1b patents who had previously received 1 or 2 prior unique TKIs</w:t>
      </w:r>
    </w:p>
    <w:p>
      <w:pPr>
        <w:spacing w:after="0" w:line="104" w:lineRule="exact"/>
        <w:rPr>
          <w:sz w:val="20"/>
          <w:szCs w:val="20"/>
          <w:color w:val="auto"/>
        </w:rPr>
      </w:pPr>
    </w:p>
    <w:p>
      <w:pPr>
        <w:ind w:left="1520"/>
        <w:spacing w:after="0"/>
        <w:rPr>
          <w:sz w:val="20"/>
          <w:szCs w:val="20"/>
          <w:color w:val="auto"/>
        </w:rPr>
      </w:pPr>
      <w:r>
        <w:rPr>
          <w:rFonts w:ascii="Calibri" w:cs="Calibri" w:eastAsia="Calibri" w:hAnsi="Calibri"/>
          <w:sz w:val="18"/>
          <w:szCs w:val="18"/>
          <w:i w:val="1"/>
          <w:iCs w:val="1"/>
          <w:color w:val="auto"/>
        </w:rPr>
        <w:t>Favorable safety and tolerability profle with 161 patents enrolled and a median treatment duraton of 35 weeks</w:t>
      </w:r>
    </w:p>
    <w:p>
      <w:pPr>
        <w:spacing w:after="0" w:line="104" w:lineRule="exact"/>
        <w:rPr>
          <w:sz w:val="20"/>
          <w:szCs w:val="20"/>
          <w:color w:val="auto"/>
        </w:rPr>
      </w:pPr>
    </w:p>
    <w:p>
      <w:pPr>
        <w:ind w:left="320"/>
        <w:spacing w:after="0"/>
        <w:rPr>
          <w:sz w:val="20"/>
          <w:szCs w:val="20"/>
          <w:color w:val="auto"/>
        </w:rPr>
      </w:pPr>
      <w:r>
        <w:rPr>
          <w:rFonts w:ascii="Calibri" w:cs="Calibri" w:eastAsia="Calibri" w:hAnsi="Calibri"/>
          <w:sz w:val="18"/>
          <w:szCs w:val="18"/>
          <w:i w:val="1"/>
          <w:iCs w:val="1"/>
          <w:color w:val="auto"/>
        </w:rPr>
        <w:t>Alignment with the FDA on 80 mg QD as the recommended Phase 3 dose and on the 2L+ patent populaton for the ENABLE-2 pivotal trial, which is</w:t>
      </w:r>
    </w:p>
    <w:p>
      <w:pPr>
        <w:jc w:val="center"/>
        <w:spacing w:after="0" w:line="235" w:lineRule="auto"/>
        <w:rPr>
          <w:sz w:val="20"/>
          <w:szCs w:val="20"/>
          <w:color w:val="auto"/>
        </w:rPr>
      </w:pPr>
      <w:r>
        <w:rPr>
          <w:rFonts w:ascii="Calibri" w:cs="Calibri" w:eastAsia="Calibri" w:hAnsi="Calibri"/>
          <w:sz w:val="18"/>
          <w:szCs w:val="18"/>
          <w:i w:val="1"/>
          <w:iCs w:val="1"/>
          <w:color w:val="auto"/>
        </w:rPr>
        <w:t>expected to initate in the second half of this year</w:t>
      </w:r>
    </w:p>
    <w:p>
      <w:pPr>
        <w:spacing w:after="0" w:line="218"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color w:val="auto"/>
        </w:rPr>
        <w:t>BURLINGAME, Calif., June 11, 2026 /PRNewswire/ — Enliven Therapeutcs, Inc. (Enliven or the Company) (Nasdaq: ELVN), a clinical-stage biopharmaceutcal company focused on the discovery and development of small molecule therapeutcs, today presented updated positve data from the Phase 1 ENABLE clinical trial evaluatng ELVN-001 in patents with previously treated chronic myeloid leukemia (CML). An oral presentaton will be delivered later today at the European Hematology Associaton (EHA) 2026 Congress, taking place June 11-15 in Stockholm, Sweden, and virtually. The Company also provided an update on recent regulatory interactons with the Food and Drug Administraton (FDA). Enliven will host a webcast and conference call today, June 11, at 8:30 a.m. ET / 2:30 p.m. CEST.</w:t>
      </w:r>
    </w:p>
    <w:p>
      <w:pPr>
        <w:spacing w:after="0" w:line="221"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“Despite recent advances in CML treatment, there remains a need for highly efectve therapies with excellent safety and tolerability profles optmized for long-term treatment and capable of deep and durable molecular responses,” said Dennis Kim, M.D., Professor of Medicine in the Department of Medical Oncology and Hematology at the Princess Margaret Cancer Centre, Canada. “The updated data from the ENABLE trial are very promising and encouraging. The trial demonstrated meaningful responses across lines of therapy in heavily pretreated patents, including responses in patents who had shown a lack of efcacy to the most efectve approved therapies. Further, ELVN-001 demonstrated a favorable safety and tolerability profle, refectng its high selectvity. I look forward to the initaton of the planned Phase 3 ENABLE-2 trial, which could establish ELVN-001 as an important new treatment opton for patents with previously treated CML.”</w:t>
      </w:r>
    </w:p>
    <w:p>
      <w:pPr>
        <w:spacing w:after="0" w:line="222" w:lineRule="exact"/>
        <w:rPr>
          <w:sz w:val="20"/>
          <w:szCs w:val="20"/>
          <w:color w:val="auto"/>
        </w:rPr>
      </w:pPr>
    </w:p>
    <w:p>
      <w:pPr>
        <w:ind w:right="280"/>
        <w:spacing w:after="0" w:line="235" w:lineRule="auto"/>
        <w:rPr>
          <w:sz w:val="20"/>
          <w:szCs w:val="20"/>
          <w:color w:val="auto"/>
        </w:rPr>
      </w:pPr>
      <w:r>
        <w:rPr>
          <w:rFonts w:ascii="Calibri" w:cs="Calibri" w:eastAsia="Calibri" w:hAnsi="Calibri"/>
          <w:sz w:val="18"/>
          <w:szCs w:val="18"/>
          <w:color w:val="auto"/>
        </w:rPr>
        <w:t>“These promising results contnue to showcase the consistency of ELVN-001’s overall profle and reinforce its potental to be a best-in-class ATP-compettve inhibitor with diferentated actvity relatve to allosteric inhibitors,” said Helen Collins, M.D., Chief Medical Ofcer of Enliven. “In these data, we observed higher response rates in patents treated in earlier lines of therapy, and comparable response</w:t>
      </w:r>
    </w:p>
    <w:p>
      <w:pPr>
        <w:sectPr>
          <w:pgSz w:w="11900" w:h="16838" w:orient="portrait"/>
          <w:cols w:equalWidth="0" w:num="1">
            <w:col w:w="11020"/>
          </w:cols>
          <w:pgMar w:left="440" w:top="112" w:right="439" w:bottom="1440" w:gutter="0" w:footer="0" w:header="0"/>
        </w:sectPr>
      </w:pPr>
    </w:p>
    <w:bookmarkStart w:id="6" w:name="page7"/>
    <w:bookmarkEnd w:id="6"/>
    <w:p>
      <w:pPr>
        <w:jc w:val="both"/>
        <w:spacing w:after="0" w:line="235" w:lineRule="auto"/>
        <w:rPr>
          <w:sz w:val="20"/>
          <w:szCs w:val="20"/>
          <w:color w:val="auto"/>
        </w:rPr>
      </w:pPr>
      <w:r>
        <w:rPr>
          <w:rFonts w:ascii="Calibri" w:cs="Calibri" w:eastAsia="Calibri" w:hAnsi="Calibri"/>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343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634365"/>
                    </a:xfrm>
                    <a:prstGeom prst="rect">
                      <a:avLst/>
                    </a:prstGeom>
                    <a:noFill/>
                  </pic:spPr>
                </pic:pic>
              </a:graphicData>
            </a:graphic>
          </wp:anchor>
        </w:drawing>
        <w:t>rates regardless of prior asciminib exposure. We are also thrilled by the outcome of our recent End-of- Phase 1 meetng with the FDA, where we reached alignment on the 80 mg once daily dose and the inclusion of patents who have received at least one prior TKI in the planned ENABLE-2 Phase 3 trial. This is an important milestone as we advance towards initatng ENABLE-2 later this year.”</w:t>
      </w:r>
    </w:p>
    <w:p>
      <w:pPr>
        <w:spacing w:after="0" w:line="219"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ELVN-001 is a potent, highly selectve, potentally best-in-class small molecule kinase inhibitor designed to specifcally target the BCR::ABL1 gene fusion, the oncogenic driver for patents living with CML. Data presented at EHA are from the ongoing ENABLE Phase 1 clinical trial, which enrolled patents with CML that is relapsed, refractory or intolerant to available tyrosine kinase inhibitors (TKIs) (</w:t>
      </w:r>
      <w:r>
        <w:rPr>
          <w:rFonts w:ascii="Calibri" w:cs="Calibri" w:eastAsia="Calibri" w:hAnsi="Calibri"/>
          <w:sz w:val="18"/>
          <w:szCs w:val="18"/>
          <w:u w:val="single" w:color="auto"/>
          <w:color w:val="auto"/>
        </w:rPr>
        <w:t>NCT05304377</w:t>
      </w:r>
      <w:r>
        <w:rPr>
          <w:rFonts w:ascii="Calibri" w:cs="Calibri" w:eastAsia="Calibri" w:hAnsi="Calibri"/>
          <w:sz w:val="18"/>
          <w:szCs w:val="18"/>
          <w:color w:val="auto"/>
        </w:rPr>
        <w:t>).</w:t>
      </w:r>
    </w:p>
    <w:p>
      <w:pPr>
        <w:spacing w:after="0" w:line="322" w:lineRule="exact"/>
        <w:rPr>
          <w:sz w:val="20"/>
          <w:szCs w:val="20"/>
          <w:color w:val="auto"/>
        </w:rPr>
      </w:pPr>
    </w:p>
    <w:p>
      <w:pPr>
        <w:spacing w:after="0"/>
        <w:rPr>
          <w:sz w:val="20"/>
          <w:szCs w:val="20"/>
          <w:color w:val="auto"/>
        </w:rPr>
      </w:pPr>
      <w:r>
        <w:rPr>
          <w:rFonts w:ascii="Calibri" w:cs="Calibri" w:eastAsia="Calibri" w:hAnsi="Calibri"/>
          <w:sz w:val="18"/>
          <w:szCs w:val="18"/>
          <w:b w:val="1"/>
          <w:bCs w:val="1"/>
          <w:u w:val="single" w:color="auto"/>
          <w:color w:val="auto"/>
        </w:rPr>
        <w:t>ELVN-001 Updated Data Highlights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ENABLE Has Enrolled a Heavily Pretreated Patent Populaton</w:t>
      </w:r>
    </w:p>
    <w:p>
      <w:pPr>
        <w:spacing w:after="0" w:line="123" w:lineRule="exact"/>
        <w:rPr>
          <w:sz w:val="20"/>
          <w:szCs w:val="20"/>
          <w:color w:val="auto"/>
        </w:rPr>
      </w:pPr>
    </w:p>
    <w:p>
      <w:pPr>
        <w:ind w:left="960" w:right="80" w:hanging="424"/>
        <w:spacing w:after="0" w:line="235" w:lineRule="auto"/>
        <w:tabs>
          <w:tab w:leader="none" w:pos="960"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As of the cutof date of March 10, 2026, 161 patents were enrolled in the ongoing Phase 1 trial across dose levels ranging from 10-240 mg daily.</w:t>
      </w:r>
    </w:p>
    <w:p>
      <w:pPr>
        <w:spacing w:after="0" w:line="118" w:lineRule="exact"/>
        <w:rPr>
          <w:rFonts w:ascii="Calibri" w:cs="Calibri" w:eastAsia="Calibri" w:hAnsi="Calibri"/>
          <w:sz w:val="18"/>
          <w:szCs w:val="18"/>
          <w:color w:val="auto"/>
        </w:rPr>
      </w:pPr>
    </w:p>
    <w:p>
      <w:pPr>
        <w:ind w:left="960" w:hanging="424"/>
        <w:spacing w:after="0"/>
        <w:tabs>
          <w:tab w:leader="none" w:pos="960"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Most patents (76%) remain on study with a median treatment duraton of 35 weeks.</w:t>
      </w:r>
    </w:p>
    <w:p>
      <w:pPr>
        <w:spacing w:after="0" w:line="122" w:lineRule="exact"/>
        <w:rPr>
          <w:rFonts w:ascii="Calibri" w:cs="Calibri" w:eastAsia="Calibri" w:hAnsi="Calibri"/>
          <w:sz w:val="18"/>
          <w:szCs w:val="18"/>
          <w:color w:val="auto"/>
        </w:rPr>
      </w:pPr>
    </w:p>
    <w:p>
      <w:pPr>
        <w:ind w:left="960" w:right="80" w:hanging="424"/>
        <w:spacing w:after="0" w:line="235" w:lineRule="auto"/>
        <w:tabs>
          <w:tab w:leader="none" w:pos="960"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Patents enrolled were heavily pretreated, with 70% having received three or more prior unique TKIs and 23% having received fve or more unique TKIs.</w:t>
      </w:r>
    </w:p>
    <w:p>
      <w:pPr>
        <w:spacing w:after="0" w:line="123" w:lineRule="exact"/>
        <w:rPr>
          <w:rFonts w:ascii="Calibri" w:cs="Calibri" w:eastAsia="Calibri" w:hAnsi="Calibri"/>
          <w:sz w:val="18"/>
          <w:szCs w:val="18"/>
          <w:color w:val="auto"/>
        </w:rPr>
      </w:pPr>
    </w:p>
    <w:p>
      <w:pPr>
        <w:ind w:left="1420" w:right="360" w:hanging="331"/>
        <w:spacing w:after="0" w:line="235" w:lineRule="auto"/>
        <w:tabs>
          <w:tab w:leader="none" w:pos="1420" w:val="left"/>
        </w:tabs>
        <w:numPr>
          <w:ilvl w:val="1"/>
          <w:numId w:val="8"/>
        </w:numPr>
        <w:rPr>
          <w:rFonts w:ascii="Calibri" w:cs="Calibri" w:eastAsia="Calibri" w:hAnsi="Calibri"/>
          <w:sz w:val="18"/>
          <w:szCs w:val="18"/>
          <w:color w:val="auto"/>
        </w:rPr>
      </w:pPr>
      <w:r>
        <w:rPr>
          <w:rFonts w:ascii="Calibri" w:cs="Calibri" w:eastAsia="Calibri" w:hAnsi="Calibri"/>
          <w:sz w:val="18"/>
          <w:szCs w:val="18"/>
          <w:color w:val="auto"/>
        </w:rPr>
        <w:t>62% of patents received prior asciminib, and these patents were more heavily pretreated than the overall trial populaton: 93% received three or more prior unique TKIs, and 34% received fve or more unique TKIs.</w:t>
      </w:r>
    </w:p>
    <w:p>
      <w:pPr>
        <w:spacing w:after="0" w:line="123" w:lineRule="exact"/>
        <w:rPr>
          <w:rFonts w:ascii="Calibri" w:cs="Calibri" w:eastAsia="Calibri" w:hAnsi="Calibri"/>
          <w:sz w:val="18"/>
          <w:szCs w:val="18"/>
          <w:color w:val="auto"/>
        </w:rPr>
      </w:pPr>
    </w:p>
    <w:p>
      <w:pPr>
        <w:ind w:left="1420" w:right="220" w:hanging="331"/>
        <w:spacing w:after="0" w:line="235" w:lineRule="auto"/>
        <w:tabs>
          <w:tab w:leader="none" w:pos="1420" w:val="left"/>
        </w:tabs>
        <w:numPr>
          <w:ilvl w:val="1"/>
          <w:numId w:val="8"/>
        </w:numPr>
        <w:rPr>
          <w:rFonts w:ascii="Calibri" w:cs="Calibri" w:eastAsia="Calibri" w:hAnsi="Calibri"/>
          <w:sz w:val="18"/>
          <w:szCs w:val="18"/>
          <w:color w:val="auto"/>
        </w:rPr>
      </w:pPr>
      <w:r>
        <w:rPr>
          <w:rFonts w:ascii="Calibri" w:cs="Calibri" w:eastAsia="Calibri" w:hAnsi="Calibri"/>
          <w:sz w:val="18"/>
          <w:szCs w:val="18"/>
          <w:color w:val="auto"/>
        </w:rPr>
        <w:t>8% of patents enrolled with mutatons associated with resistance to allosteric inhibitors, increasing from 4% in Phase 1a to 11% in Phase 1b.</w:t>
      </w:r>
    </w:p>
    <w:p>
      <w:pPr>
        <w:spacing w:after="0" w:line="32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Encouraging ELVN-001 Efcacy Data by 24 Weeks</w:t>
      </w:r>
    </w:p>
    <w:p>
      <w:pPr>
        <w:spacing w:after="0" w:line="123" w:lineRule="exact"/>
        <w:rPr>
          <w:sz w:val="20"/>
          <w:szCs w:val="20"/>
          <w:color w:val="auto"/>
        </w:rPr>
      </w:pPr>
    </w:p>
    <w:p>
      <w:pPr>
        <w:ind w:left="960" w:right="120" w:hanging="424"/>
        <w:spacing w:after="0" w:line="235" w:lineRule="auto"/>
        <w:tabs>
          <w:tab w:leader="none" w:pos="960" w:val="left"/>
        </w:tabs>
        <w:numPr>
          <w:ilvl w:val="0"/>
          <w:numId w:val="9"/>
        </w:numPr>
        <w:rPr>
          <w:rFonts w:ascii="Calibri" w:cs="Calibri" w:eastAsia="Calibri" w:hAnsi="Calibri"/>
          <w:sz w:val="18"/>
          <w:szCs w:val="18"/>
          <w:color w:val="auto"/>
        </w:rPr>
      </w:pPr>
      <w:r>
        <w:rPr>
          <w:rFonts w:ascii="Calibri" w:cs="Calibri" w:eastAsia="Calibri" w:hAnsi="Calibri"/>
          <w:sz w:val="18"/>
          <w:szCs w:val="18"/>
          <w:color w:val="auto"/>
        </w:rPr>
        <w:t>Of the 90 patents enrolled in the Phase 1b, 78 had typical BCR::ABL1 transcripts and had at least one post-baseline transcript; 69 patents were evaluable for major molecular response (MMR) by 24 weeks.</w:t>
      </w:r>
    </w:p>
    <w:p>
      <w:pPr>
        <w:spacing w:after="0" w:line="123" w:lineRule="exact"/>
        <w:rPr>
          <w:rFonts w:ascii="Calibri" w:cs="Calibri" w:eastAsia="Calibri" w:hAnsi="Calibri"/>
          <w:sz w:val="18"/>
          <w:szCs w:val="18"/>
          <w:color w:val="auto"/>
        </w:rPr>
      </w:pPr>
    </w:p>
    <w:p>
      <w:pPr>
        <w:ind w:left="960" w:right="20" w:hanging="424"/>
        <w:spacing w:after="0" w:line="235" w:lineRule="auto"/>
        <w:tabs>
          <w:tab w:leader="none" w:pos="960" w:val="left"/>
        </w:tabs>
        <w:numPr>
          <w:ilvl w:val="0"/>
          <w:numId w:val="9"/>
        </w:numPr>
        <w:rPr>
          <w:rFonts w:ascii="Calibri" w:cs="Calibri" w:eastAsia="Calibri" w:hAnsi="Calibri"/>
          <w:sz w:val="18"/>
          <w:szCs w:val="18"/>
          <w:color w:val="auto"/>
        </w:rPr>
      </w:pPr>
      <w:r>
        <w:rPr>
          <w:rFonts w:ascii="Calibri" w:cs="Calibri" w:eastAsia="Calibri" w:hAnsi="Calibri"/>
          <w:sz w:val="18"/>
          <w:szCs w:val="18"/>
          <w:color w:val="auto"/>
        </w:rPr>
        <w:t>Additonally, of the 49 patents enrolled in the 80 mg once daily (QD) Phase 1b cohort, 37 had typical BCR::ABL1 transcripts and had at least one post-baseline transcript; 28 patents were evaluable for MMR by 24 weeks.</w:t>
      </w:r>
    </w:p>
    <w:p>
      <w:pPr>
        <w:spacing w:after="0" w:line="252"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3000" w:type="dxa"/>
            <w:vAlign w:val="bottom"/>
            <w:gridSpan w:val="2"/>
          </w:tcPr>
          <w:p>
            <w:pPr>
              <w:jc w:val="center"/>
              <w:ind w:right="80"/>
              <w:spacing w:after="0"/>
              <w:rPr>
                <w:sz w:val="20"/>
                <w:szCs w:val="20"/>
                <w:color w:val="auto"/>
              </w:rPr>
            </w:pPr>
            <w:r>
              <w:rPr>
                <w:rFonts w:ascii="Calibri" w:cs="Calibri" w:eastAsia="Calibri" w:hAnsi="Calibri"/>
                <w:sz w:val="14"/>
                <w:szCs w:val="14"/>
                <w:b w:val="1"/>
                <w:bCs w:val="1"/>
                <w:color w:val="auto"/>
              </w:rPr>
              <w:t>Cohort (n = evaluable for MMR)</w:t>
            </w:r>
          </w:p>
        </w:tc>
        <w:tc>
          <w:tcPr>
            <w:tcW w:w="2780" w:type="dxa"/>
            <w:vAlign w:val="bottom"/>
            <w:gridSpan w:val="2"/>
          </w:tcPr>
          <w:p>
            <w:pPr>
              <w:ind w:left="1080"/>
              <w:spacing w:after="0"/>
              <w:rPr>
                <w:sz w:val="20"/>
                <w:szCs w:val="20"/>
                <w:color w:val="auto"/>
              </w:rPr>
            </w:pPr>
            <w:r>
              <w:rPr>
                <w:rFonts w:ascii="Calibri" w:cs="Calibri" w:eastAsia="Calibri" w:hAnsi="Calibri"/>
                <w:sz w:val="14"/>
                <w:szCs w:val="14"/>
                <w:b w:val="1"/>
                <w:bCs w:val="1"/>
                <w:color w:val="auto"/>
              </w:rPr>
              <w:t>Phase 1b</w:t>
            </w:r>
          </w:p>
        </w:tc>
        <w:tc>
          <w:tcPr>
            <w:tcW w:w="2580" w:type="dxa"/>
            <w:vAlign w:val="bottom"/>
          </w:tcPr>
          <w:p>
            <w:pPr>
              <w:jc w:val="center"/>
              <w:spacing w:after="0"/>
              <w:rPr>
                <w:sz w:val="20"/>
                <w:szCs w:val="20"/>
                <w:color w:val="auto"/>
              </w:rPr>
            </w:pPr>
            <w:r>
              <w:rPr>
                <w:rFonts w:ascii="Calibri" w:cs="Calibri" w:eastAsia="Calibri" w:hAnsi="Calibri"/>
                <w:sz w:val="14"/>
                <w:szCs w:val="14"/>
                <w:b w:val="1"/>
                <w:bCs w:val="1"/>
                <w:color w:val="auto"/>
              </w:rPr>
              <w:t>Phase 1b 80 mg QD Cohort</w:t>
            </w:r>
          </w:p>
        </w:tc>
        <w:tc>
          <w:tcPr>
            <w:tcW w:w="0" w:type="dxa"/>
            <w:vAlign w:val="bottom"/>
          </w:tcPr>
          <w:p>
            <w:pPr>
              <w:spacing w:after="0"/>
              <w:rPr>
                <w:sz w:val="1"/>
                <w:szCs w:val="1"/>
                <w:color w:val="auto"/>
              </w:rPr>
            </w:pPr>
          </w:p>
        </w:tc>
      </w:tr>
      <w:tr>
        <w:trPr>
          <w:trHeight w:val="33"/>
        </w:trPr>
        <w:tc>
          <w:tcPr>
            <w:tcW w:w="292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920" w:type="dxa"/>
            <w:vAlign w:val="bottom"/>
          </w:tcPr>
          <w:p>
            <w:pPr>
              <w:jc w:val="center"/>
              <w:spacing w:after="0" w:line="187" w:lineRule="exact"/>
              <w:rPr>
                <w:sz w:val="20"/>
                <w:szCs w:val="20"/>
                <w:color w:val="auto"/>
              </w:rPr>
            </w:pPr>
            <w:r>
              <w:rPr>
                <w:rFonts w:ascii="Calibri" w:cs="Calibri" w:eastAsia="Calibri" w:hAnsi="Calibri"/>
                <w:sz w:val="18"/>
                <w:szCs w:val="18"/>
                <w:color w:val="auto"/>
                <w:w w:val="97"/>
              </w:rPr>
              <w:t>Overall MMR</w:t>
            </w:r>
          </w:p>
        </w:tc>
        <w:tc>
          <w:tcPr>
            <w:tcW w:w="80" w:type="dxa"/>
            <w:vAlign w:val="bottom"/>
            <w:vMerge w:val="continue"/>
          </w:tcPr>
          <w:p>
            <w:pPr>
              <w:spacing w:after="0"/>
              <w:rPr>
                <w:sz w:val="16"/>
                <w:szCs w:val="16"/>
                <w:color w:val="auto"/>
              </w:rPr>
            </w:pPr>
          </w:p>
        </w:tc>
        <w:tc>
          <w:tcPr>
            <w:tcW w:w="2680" w:type="dxa"/>
            <w:vAlign w:val="bottom"/>
          </w:tcPr>
          <w:p>
            <w:pPr>
              <w:jc w:val="center"/>
              <w:spacing w:after="0" w:line="187" w:lineRule="exact"/>
              <w:rPr>
                <w:sz w:val="20"/>
                <w:szCs w:val="20"/>
                <w:color w:val="auto"/>
              </w:rPr>
            </w:pPr>
            <w:r>
              <w:rPr>
                <w:rFonts w:ascii="Calibri" w:cs="Calibri" w:eastAsia="Calibri" w:hAnsi="Calibri"/>
                <w:sz w:val="18"/>
                <w:szCs w:val="18"/>
                <w:color w:val="auto"/>
                <w:w w:val="99"/>
              </w:rPr>
              <w:t>54% (n=69)</w:t>
            </w:r>
          </w:p>
        </w:tc>
        <w:tc>
          <w:tcPr>
            <w:tcW w:w="100" w:type="dxa"/>
            <w:vAlign w:val="bottom"/>
            <w:vMerge w:val="continue"/>
          </w:tcPr>
          <w:p>
            <w:pPr>
              <w:spacing w:after="0"/>
              <w:rPr>
                <w:sz w:val="16"/>
                <w:szCs w:val="16"/>
                <w:color w:val="auto"/>
              </w:rPr>
            </w:pPr>
          </w:p>
        </w:tc>
        <w:tc>
          <w:tcPr>
            <w:tcW w:w="2580" w:type="dxa"/>
            <w:vAlign w:val="bottom"/>
          </w:tcPr>
          <w:p>
            <w:pPr>
              <w:jc w:val="center"/>
              <w:spacing w:after="0" w:line="187" w:lineRule="exact"/>
              <w:rPr>
                <w:sz w:val="20"/>
                <w:szCs w:val="20"/>
                <w:color w:val="auto"/>
              </w:rPr>
            </w:pPr>
            <w:r>
              <w:rPr>
                <w:rFonts w:ascii="Calibri" w:cs="Calibri" w:eastAsia="Calibri" w:hAnsi="Calibri"/>
                <w:sz w:val="18"/>
                <w:szCs w:val="18"/>
                <w:color w:val="auto"/>
                <w:w w:val="99"/>
              </w:rPr>
              <w:t>61% (n=28)</w:t>
            </w:r>
          </w:p>
        </w:tc>
        <w:tc>
          <w:tcPr>
            <w:tcW w:w="0" w:type="dxa"/>
            <w:vAlign w:val="bottom"/>
          </w:tcPr>
          <w:p>
            <w:pPr>
              <w:spacing w:after="0"/>
              <w:rPr>
                <w:sz w:val="1"/>
                <w:szCs w:val="1"/>
                <w:color w:val="auto"/>
              </w:rPr>
            </w:pPr>
          </w:p>
        </w:tc>
      </w:tr>
      <w:tr>
        <w:trPr>
          <w:trHeight w:val="215"/>
        </w:trPr>
        <w:tc>
          <w:tcPr>
            <w:tcW w:w="3000" w:type="dxa"/>
            <w:vAlign w:val="bottom"/>
            <w:gridSpan w:val="2"/>
          </w:tcPr>
          <w:p>
            <w:pPr>
              <w:jc w:val="center"/>
              <w:ind w:right="80"/>
              <w:spacing w:after="0" w:line="215" w:lineRule="exact"/>
              <w:rPr>
                <w:sz w:val="20"/>
                <w:szCs w:val="20"/>
                <w:color w:val="auto"/>
              </w:rPr>
            </w:pPr>
            <w:r>
              <w:rPr>
                <w:rFonts w:ascii="Calibri" w:cs="Calibri" w:eastAsia="Calibri" w:hAnsi="Calibri"/>
                <w:sz w:val="18"/>
                <w:szCs w:val="18"/>
                <w:color w:val="auto"/>
                <w:w w:val="96"/>
              </w:rPr>
              <w:t>Achieved MMR</w:t>
            </w:r>
          </w:p>
        </w:tc>
        <w:tc>
          <w:tcPr>
            <w:tcW w:w="2780" w:type="dxa"/>
            <w:vAlign w:val="bottom"/>
            <w:gridSpan w:val="2"/>
          </w:tcPr>
          <w:p>
            <w:pPr>
              <w:jc w:val="center"/>
              <w:ind w:right="80"/>
              <w:spacing w:after="0" w:line="215" w:lineRule="exact"/>
              <w:rPr>
                <w:sz w:val="20"/>
                <w:szCs w:val="20"/>
                <w:color w:val="auto"/>
              </w:rPr>
            </w:pPr>
            <w:r>
              <w:rPr>
                <w:rFonts w:ascii="Calibri" w:cs="Calibri" w:eastAsia="Calibri" w:hAnsi="Calibri"/>
                <w:sz w:val="18"/>
                <w:szCs w:val="18"/>
                <w:color w:val="auto"/>
                <w:w w:val="99"/>
              </w:rPr>
              <w:t>40% (n=53)</w:t>
            </w:r>
          </w:p>
        </w:tc>
        <w:tc>
          <w:tcPr>
            <w:tcW w:w="2580" w:type="dxa"/>
            <w:vAlign w:val="bottom"/>
          </w:tcPr>
          <w:p>
            <w:pPr>
              <w:jc w:val="center"/>
              <w:spacing w:after="0" w:line="215" w:lineRule="exact"/>
              <w:rPr>
                <w:sz w:val="20"/>
                <w:szCs w:val="20"/>
                <w:color w:val="auto"/>
              </w:rPr>
            </w:pPr>
            <w:r>
              <w:rPr>
                <w:rFonts w:ascii="Calibri" w:cs="Calibri" w:eastAsia="Calibri" w:hAnsi="Calibri"/>
                <w:sz w:val="18"/>
                <w:szCs w:val="18"/>
                <w:color w:val="auto"/>
                <w:w w:val="99"/>
              </w:rPr>
              <w:t>48% (n=21)</w:t>
            </w:r>
          </w:p>
        </w:tc>
        <w:tc>
          <w:tcPr>
            <w:tcW w:w="0" w:type="dxa"/>
            <w:vAlign w:val="bottom"/>
          </w:tcPr>
          <w:p>
            <w:pPr>
              <w:spacing w:after="0"/>
              <w:rPr>
                <w:sz w:val="1"/>
                <w:szCs w:val="1"/>
                <w:color w:val="auto"/>
              </w:rPr>
            </w:pPr>
          </w:p>
        </w:tc>
      </w:tr>
      <w:tr>
        <w:trPr>
          <w:trHeight w:val="216"/>
        </w:trPr>
        <w:tc>
          <w:tcPr>
            <w:tcW w:w="3000" w:type="dxa"/>
            <w:vAlign w:val="bottom"/>
            <w:gridSpan w:val="2"/>
          </w:tcPr>
          <w:p>
            <w:pPr>
              <w:jc w:val="center"/>
              <w:ind w:right="80"/>
              <w:spacing w:after="0" w:line="216" w:lineRule="exact"/>
              <w:rPr>
                <w:sz w:val="20"/>
                <w:szCs w:val="20"/>
                <w:color w:val="auto"/>
              </w:rPr>
            </w:pPr>
            <w:r>
              <w:rPr>
                <w:rFonts w:ascii="Calibri" w:cs="Calibri" w:eastAsia="Calibri" w:hAnsi="Calibri"/>
                <w:sz w:val="18"/>
                <w:szCs w:val="18"/>
                <w:color w:val="auto"/>
                <w:w w:val="96"/>
              </w:rPr>
              <w:t>Maintained MMR</w:t>
            </w:r>
          </w:p>
        </w:tc>
        <w:tc>
          <w:tcPr>
            <w:tcW w:w="2780" w:type="dxa"/>
            <w:vAlign w:val="bottom"/>
            <w:gridSpan w:val="2"/>
          </w:tcPr>
          <w:p>
            <w:pPr>
              <w:jc w:val="center"/>
              <w:ind w:right="80"/>
              <w:spacing w:after="0" w:line="216" w:lineRule="exact"/>
              <w:rPr>
                <w:sz w:val="20"/>
                <w:szCs w:val="20"/>
                <w:color w:val="auto"/>
              </w:rPr>
            </w:pPr>
            <w:r>
              <w:rPr>
                <w:rFonts w:ascii="Calibri" w:cs="Calibri" w:eastAsia="Calibri" w:hAnsi="Calibri"/>
                <w:sz w:val="18"/>
                <w:szCs w:val="18"/>
                <w:color w:val="auto"/>
                <w:w w:val="97"/>
              </w:rPr>
              <w:t>100% (n=16)</w:t>
            </w:r>
          </w:p>
        </w:tc>
        <w:tc>
          <w:tcPr>
            <w:tcW w:w="2580" w:type="dxa"/>
            <w:vAlign w:val="bottom"/>
          </w:tcPr>
          <w:p>
            <w:pPr>
              <w:jc w:val="center"/>
              <w:spacing w:after="0" w:line="216" w:lineRule="exact"/>
              <w:rPr>
                <w:sz w:val="20"/>
                <w:szCs w:val="20"/>
                <w:color w:val="auto"/>
              </w:rPr>
            </w:pPr>
            <w:r>
              <w:rPr>
                <w:rFonts w:ascii="Calibri" w:cs="Calibri" w:eastAsia="Calibri" w:hAnsi="Calibri"/>
                <w:sz w:val="18"/>
                <w:szCs w:val="18"/>
                <w:color w:val="auto"/>
                <w:w w:val="99"/>
              </w:rPr>
              <w:t>100% (n=7)</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960" w:hanging="424"/>
        <w:spacing w:after="0"/>
        <w:tabs>
          <w:tab w:leader="none" w:pos="960" w:val="left"/>
        </w:tabs>
        <w:numPr>
          <w:ilvl w:val="0"/>
          <w:numId w:val="10"/>
        </w:numPr>
        <w:rPr>
          <w:rFonts w:ascii="Calibri" w:cs="Calibri" w:eastAsia="Calibri" w:hAnsi="Calibri"/>
          <w:sz w:val="18"/>
          <w:szCs w:val="18"/>
          <w:color w:val="auto"/>
        </w:rPr>
      </w:pPr>
      <w:r>
        <w:rPr>
          <w:rFonts w:ascii="Calibri" w:cs="Calibri" w:eastAsia="Calibri" w:hAnsi="Calibri"/>
          <w:sz w:val="18"/>
          <w:szCs w:val="18"/>
          <w:color w:val="auto"/>
        </w:rPr>
        <w:t>Deep Molecular Response (DMR) achievement rates were also encouraging.</w:t>
      </w:r>
    </w:p>
    <w:p>
      <w:pPr>
        <w:spacing w:after="0" w:line="117" w:lineRule="exact"/>
        <w:rPr>
          <w:rFonts w:ascii="Calibri" w:cs="Calibri" w:eastAsia="Calibri" w:hAnsi="Calibri"/>
          <w:sz w:val="18"/>
          <w:szCs w:val="18"/>
          <w:color w:val="auto"/>
        </w:rPr>
      </w:pPr>
    </w:p>
    <w:p>
      <w:pPr>
        <w:ind w:left="1420" w:hanging="331"/>
        <w:spacing w:after="0"/>
        <w:tabs>
          <w:tab w:leader="none" w:pos="1420" w:val="left"/>
        </w:tabs>
        <w:numPr>
          <w:ilvl w:val="1"/>
          <w:numId w:val="10"/>
        </w:numPr>
        <w:rPr>
          <w:rFonts w:ascii="Calibri" w:cs="Calibri" w:eastAsia="Calibri" w:hAnsi="Calibri"/>
          <w:sz w:val="18"/>
          <w:szCs w:val="18"/>
          <w:color w:val="auto"/>
        </w:rPr>
      </w:pPr>
      <w:r>
        <w:rPr>
          <w:rFonts w:ascii="Calibri" w:cs="Calibri" w:eastAsia="Calibri" w:hAnsi="Calibri"/>
          <w:sz w:val="18"/>
          <w:szCs w:val="18"/>
          <w:color w:val="auto"/>
        </w:rPr>
        <w:t>By 24 weeks, DMR was achieved in 22% of patents in the overall Phase 1b and 30% of patents in the 80 mg QD Phase 1b cohort.</w:t>
      </w:r>
    </w:p>
    <w:p>
      <w:pPr>
        <w:sectPr>
          <w:pgSz w:w="11900" w:h="16838" w:orient="portrait"/>
          <w:cols w:equalWidth="0" w:num="1">
            <w:col w:w="10880"/>
          </w:cols>
          <w:pgMar w:left="440" w:top="1265" w:right="579" w:bottom="1440" w:gutter="0" w:footer="0" w:header="0"/>
        </w:sectPr>
      </w:pPr>
    </w:p>
    <w:bookmarkStart w:id="7" w:name="page8"/>
    <w:bookmarkEnd w:id="7"/>
    <w:p>
      <w:pPr>
        <w:ind w:left="960" w:hanging="424"/>
        <w:spacing w:after="0"/>
        <w:tabs>
          <w:tab w:leader="none" w:pos="960" w:val="left"/>
        </w:tabs>
        <w:numPr>
          <w:ilvl w:val="0"/>
          <w:numId w:val="11"/>
        </w:numPr>
        <w:rPr>
          <w:rFonts w:ascii="Calibri" w:cs="Calibri" w:eastAsia="Calibri" w:hAnsi="Calibri"/>
          <w:sz w:val="18"/>
          <w:szCs w:val="18"/>
          <w:color w:val="auto"/>
        </w:rPr>
      </w:pPr>
      <w:r>
        <w:rPr>
          <w:rFonts w:ascii="Calibri" w:cs="Calibri" w:eastAsia="Calibri" w:hAnsi="Calibri"/>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343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634365"/>
                    </a:xfrm>
                    <a:prstGeom prst="rect">
                      <a:avLst/>
                    </a:prstGeom>
                    <a:noFill/>
                  </pic:spPr>
                </pic:pic>
              </a:graphicData>
            </a:graphic>
          </wp:anchor>
        </w:drawing>
        <w:t>Response rates were higher in less heavily pretreated patents, and prior asciminib exposure did not meaningfully impact response rates.</w:t>
      </w:r>
    </w:p>
    <w:p>
      <w:pPr>
        <w:spacing w:after="0" w:line="239"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Achieved Response Rates by 24-weeks (n = evaluable for MMR)</w:t>
      </w:r>
    </w:p>
    <w:p>
      <w:pPr>
        <w:spacing w:after="0" w:line="116"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3000" w:type="dxa"/>
            <w:vAlign w:val="bottom"/>
            <w:gridSpan w:val="2"/>
          </w:tcPr>
          <w:p>
            <w:pPr>
              <w:ind w:left="600"/>
              <w:spacing w:after="0"/>
              <w:rPr>
                <w:sz w:val="20"/>
                <w:szCs w:val="20"/>
                <w:color w:val="auto"/>
              </w:rPr>
            </w:pPr>
            <w:r>
              <w:rPr>
                <w:rFonts w:ascii="Calibri" w:cs="Calibri" w:eastAsia="Calibri" w:hAnsi="Calibri"/>
                <w:sz w:val="14"/>
                <w:szCs w:val="14"/>
                <w:b w:val="1"/>
                <w:bCs w:val="1"/>
                <w:color w:val="auto"/>
              </w:rPr>
              <w:t>Prior number of unique TKIs:</w:t>
            </w:r>
          </w:p>
        </w:tc>
        <w:tc>
          <w:tcPr>
            <w:tcW w:w="2780" w:type="dxa"/>
            <w:vAlign w:val="bottom"/>
            <w:gridSpan w:val="2"/>
          </w:tcPr>
          <w:p>
            <w:pPr>
              <w:jc w:val="center"/>
              <w:ind w:right="100"/>
              <w:spacing w:after="0"/>
              <w:rPr>
                <w:sz w:val="20"/>
                <w:szCs w:val="20"/>
                <w:color w:val="auto"/>
              </w:rPr>
            </w:pPr>
            <w:r>
              <w:rPr>
                <w:rFonts w:ascii="Calibri" w:cs="Calibri" w:eastAsia="Calibri" w:hAnsi="Calibri"/>
                <w:sz w:val="14"/>
                <w:szCs w:val="14"/>
                <w:b w:val="1"/>
                <w:bCs w:val="1"/>
                <w:color w:val="auto"/>
              </w:rPr>
              <w:t>Phase 1b (n=69)</w:t>
            </w:r>
          </w:p>
        </w:tc>
        <w:tc>
          <w:tcPr>
            <w:tcW w:w="2580" w:type="dxa"/>
            <w:vAlign w:val="bottom"/>
          </w:tcPr>
          <w:p>
            <w:pPr>
              <w:ind w:left="360"/>
              <w:spacing w:after="0"/>
              <w:rPr>
                <w:sz w:val="20"/>
                <w:szCs w:val="20"/>
                <w:color w:val="auto"/>
              </w:rPr>
            </w:pPr>
            <w:r>
              <w:rPr>
                <w:rFonts w:ascii="Calibri" w:cs="Calibri" w:eastAsia="Calibri" w:hAnsi="Calibri"/>
                <w:sz w:val="14"/>
                <w:szCs w:val="14"/>
                <w:b w:val="1"/>
                <w:bCs w:val="1"/>
                <w:color w:val="auto"/>
              </w:rPr>
              <w:t>Phase 1b post-asciminib (n=43)</w:t>
            </w:r>
          </w:p>
        </w:tc>
        <w:tc>
          <w:tcPr>
            <w:tcW w:w="0" w:type="dxa"/>
            <w:vAlign w:val="bottom"/>
          </w:tcPr>
          <w:p>
            <w:pPr>
              <w:spacing w:after="0"/>
              <w:rPr>
                <w:sz w:val="1"/>
                <w:szCs w:val="1"/>
                <w:color w:val="auto"/>
              </w:rPr>
            </w:pPr>
          </w:p>
        </w:tc>
      </w:tr>
      <w:tr>
        <w:trPr>
          <w:trHeight w:val="33"/>
        </w:trPr>
        <w:tc>
          <w:tcPr>
            <w:tcW w:w="292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920" w:type="dxa"/>
            <w:vAlign w:val="bottom"/>
          </w:tcPr>
          <w:p>
            <w:pPr>
              <w:jc w:val="center"/>
              <w:spacing w:after="0" w:line="187" w:lineRule="exact"/>
              <w:rPr>
                <w:sz w:val="20"/>
                <w:szCs w:val="20"/>
                <w:color w:val="auto"/>
              </w:rPr>
            </w:pPr>
            <w:r>
              <w:rPr>
                <w:rFonts w:ascii="Calibri" w:cs="Calibri" w:eastAsia="Calibri" w:hAnsi="Calibri"/>
                <w:sz w:val="18"/>
                <w:szCs w:val="18"/>
                <w:color w:val="auto"/>
              </w:rPr>
              <w:t>1-2</w:t>
            </w:r>
          </w:p>
        </w:tc>
        <w:tc>
          <w:tcPr>
            <w:tcW w:w="80" w:type="dxa"/>
            <w:vAlign w:val="bottom"/>
            <w:vMerge w:val="continue"/>
          </w:tcPr>
          <w:p>
            <w:pPr>
              <w:spacing w:after="0"/>
              <w:rPr>
                <w:sz w:val="16"/>
                <w:szCs w:val="16"/>
                <w:color w:val="auto"/>
              </w:rPr>
            </w:pPr>
          </w:p>
        </w:tc>
        <w:tc>
          <w:tcPr>
            <w:tcW w:w="2680" w:type="dxa"/>
            <w:vAlign w:val="bottom"/>
          </w:tcPr>
          <w:p>
            <w:pPr>
              <w:jc w:val="center"/>
              <w:spacing w:after="0" w:line="187" w:lineRule="exact"/>
              <w:rPr>
                <w:sz w:val="20"/>
                <w:szCs w:val="20"/>
                <w:color w:val="auto"/>
              </w:rPr>
            </w:pPr>
            <w:r>
              <w:rPr>
                <w:rFonts w:ascii="Calibri" w:cs="Calibri" w:eastAsia="Calibri" w:hAnsi="Calibri"/>
                <w:sz w:val="18"/>
                <w:szCs w:val="18"/>
                <w:color w:val="auto"/>
                <w:w w:val="99"/>
              </w:rPr>
              <w:t>55% (n=27)</w:t>
            </w:r>
          </w:p>
        </w:tc>
        <w:tc>
          <w:tcPr>
            <w:tcW w:w="100" w:type="dxa"/>
            <w:vAlign w:val="bottom"/>
            <w:vMerge w:val="continue"/>
          </w:tcPr>
          <w:p>
            <w:pPr>
              <w:spacing w:after="0"/>
              <w:rPr>
                <w:sz w:val="16"/>
                <w:szCs w:val="16"/>
                <w:color w:val="auto"/>
              </w:rPr>
            </w:pPr>
          </w:p>
        </w:tc>
        <w:tc>
          <w:tcPr>
            <w:tcW w:w="2580" w:type="dxa"/>
            <w:vAlign w:val="bottom"/>
          </w:tcPr>
          <w:p>
            <w:pPr>
              <w:jc w:val="center"/>
              <w:spacing w:after="0" w:line="187" w:lineRule="exact"/>
              <w:rPr>
                <w:sz w:val="20"/>
                <w:szCs w:val="20"/>
                <w:color w:val="auto"/>
              </w:rPr>
            </w:pPr>
            <w:r>
              <w:rPr>
                <w:rFonts w:ascii="Calibri" w:cs="Calibri" w:eastAsia="Calibri" w:hAnsi="Calibri"/>
                <w:sz w:val="18"/>
                <w:szCs w:val="18"/>
                <w:color w:val="auto"/>
                <w:w w:val="97"/>
              </w:rPr>
              <w:t>60% (n=6)</w:t>
            </w:r>
          </w:p>
        </w:tc>
        <w:tc>
          <w:tcPr>
            <w:tcW w:w="0" w:type="dxa"/>
            <w:vAlign w:val="bottom"/>
          </w:tcPr>
          <w:p>
            <w:pPr>
              <w:spacing w:after="0"/>
              <w:rPr>
                <w:sz w:val="1"/>
                <w:szCs w:val="1"/>
                <w:color w:val="auto"/>
              </w:rPr>
            </w:pPr>
          </w:p>
        </w:tc>
      </w:tr>
      <w:tr>
        <w:trPr>
          <w:trHeight w:val="215"/>
        </w:trPr>
        <w:tc>
          <w:tcPr>
            <w:tcW w:w="2920" w:type="dxa"/>
            <w:vAlign w:val="bottom"/>
          </w:tcPr>
          <w:p>
            <w:pPr>
              <w:jc w:val="center"/>
              <w:spacing w:after="0" w:line="215" w:lineRule="exact"/>
              <w:rPr>
                <w:sz w:val="20"/>
                <w:szCs w:val="20"/>
                <w:color w:val="auto"/>
              </w:rPr>
            </w:pPr>
            <w:r>
              <w:rPr>
                <w:rFonts w:ascii="Calibri" w:cs="Calibri" w:eastAsia="Calibri" w:hAnsi="Calibri"/>
                <w:sz w:val="18"/>
                <w:szCs w:val="18"/>
                <w:color w:val="auto"/>
              </w:rPr>
              <w:t>3-4</w:t>
            </w:r>
          </w:p>
        </w:tc>
        <w:tc>
          <w:tcPr>
            <w:tcW w:w="80" w:type="dxa"/>
            <w:vAlign w:val="bottom"/>
          </w:tcPr>
          <w:p>
            <w:pPr>
              <w:spacing w:after="0"/>
              <w:rPr>
                <w:sz w:val="18"/>
                <w:szCs w:val="18"/>
                <w:color w:val="auto"/>
              </w:rPr>
            </w:pPr>
          </w:p>
        </w:tc>
        <w:tc>
          <w:tcPr>
            <w:tcW w:w="2780" w:type="dxa"/>
            <w:vAlign w:val="bottom"/>
            <w:gridSpan w:val="2"/>
          </w:tcPr>
          <w:p>
            <w:pPr>
              <w:jc w:val="center"/>
              <w:ind w:right="80"/>
              <w:spacing w:after="0" w:line="215" w:lineRule="exact"/>
              <w:rPr>
                <w:sz w:val="20"/>
                <w:szCs w:val="20"/>
                <w:color w:val="auto"/>
              </w:rPr>
            </w:pPr>
            <w:r>
              <w:rPr>
                <w:rFonts w:ascii="Calibri" w:cs="Calibri" w:eastAsia="Calibri" w:hAnsi="Calibri"/>
                <w:sz w:val="18"/>
                <w:szCs w:val="18"/>
                <w:color w:val="auto"/>
                <w:w w:val="99"/>
              </w:rPr>
              <w:t>32% (n=26)</w:t>
            </w:r>
          </w:p>
        </w:tc>
        <w:tc>
          <w:tcPr>
            <w:tcW w:w="2580" w:type="dxa"/>
            <w:vAlign w:val="bottom"/>
          </w:tcPr>
          <w:p>
            <w:pPr>
              <w:jc w:val="center"/>
              <w:spacing w:after="0" w:line="215" w:lineRule="exact"/>
              <w:rPr>
                <w:sz w:val="20"/>
                <w:szCs w:val="20"/>
                <w:color w:val="auto"/>
              </w:rPr>
            </w:pPr>
            <w:r>
              <w:rPr>
                <w:rFonts w:ascii="Calibri" w:cs="Calibri" w:eastAsia="Calibri" w:hAnsi="Calibri"/>
                <w:sz w:val="18"/>
                <w:szCs w:val="18"/>
                <w:color w:val="auto"/>
                <w:w w:val="99"/>
              </w:rPr>
              <w:t>28% (n=22)</w:t>
            </w:r>
          </w:p>
        </w:tc>
        <w:tc>
          <w:tcPr>
            <w:tcW w:w="0" w:type="dxa"/>
            <w:vAlign w:val="bottom"/>
          </w:tcPr>
          <w:p>
            <w:pPr>
              <w:spacing w:after="0"/>
              <w:rPr>
                <w:sz w:val="1"/>
                <w:szCs w:val="1"/>
                <w:color w:val="auto"/>
              </w:rPr>
            </w:pPr>
          </w:p>
        </w:tc>
      </w:tr>
      <w:tr>
        <w:trPr>
          <w:trHeight w:val="216"/>
        </w:trPr>
        <w:tc>
          <w:tcPr>
            <w:tcW w:w="2920" w:type="dxa"/>
            <w:vAlign w:val="bottom"/>
          </w:tcPr>
          <w:p>
            <w:pPr>
              <w:jc w:val="center"/>
              <w:spacing w:after="0" w:line="216" w:lineRule="exact"/>
              <w:rPr>
                <w:sz w:val="20"/>
                <w:szCs w:val="20"/>
                <w:color w:val="auto"/>
              </w:rPr>
            </w:pPr>
            <w:r>
              <w:rPr>
                <w:rFonts w:ascii="Calibri" w:cs="Calibri" w:eastAsia="Calibri" w:hAnsi="Calibri"/>
                <w:sz w:val="18"/>
                <w:szCs w:val="18"/>
                <w:color w:val="auto"/>
                <w:w w:val="99"/>
              </w:rPr>
              <w:t>5+</w:t>
            </w:r>
          </w:p>
        </w:tc>
        <w:tc>
          <w:tcPr>
            <w:tcW w:w="80" w:type="dxa"/>
            <w:vAlign w:val="bottom"/>
          </w:tcPr>
          <w:p>
            <w:pPr>
              <w:spacing w:after="0"/>
              <w:rPr>
                <w:sz w:val="18"/>
                <w:szCs w:val="18"/>
                <w:color w:val="auto"/>
              </w:rPr>
            </w:pPr>
          </w:p>
        </w:tc>
        <w:tc>
          <w:tcPr>
            <w:tcW w:w="2780" w:type="dxa"/>
            <w:vAlign w:val="bottom"/>
            <w:gridSpan w:val="2"/>
          </w:tcPr>
          <w:p>
            <w:pPr>
              <w:jc w:val="center"/>
              <w:ind w:right="80"/>
              <w:spacing w:after="0" w:line="216" w:lineRule="exact"/>
              <w:rPr>
                <w:sz w:val="20"/>
                <w:szCs w:val="20"/>
                <w:color w:val="auto"/>
              </w:rPr>
            </w:pPr>
            <w:r>
              <w:rPr>
                <w:rFonts w:ascii="Calibri" w:cs="Calibri" w:eastAsia="Calibri" w:hAnsi="Calibri"/>
                <w:sz w:val="18"/>
                <w:szCs w:val="18"/>
                <w:color w:val="auto"/>
                <w:w w:val="99"/>
              </w:rPr>
              <w:t>29% (n=16)</w:t>
            </w:r>
          </w:p>
        </w:tc>
        <w:tc>
          <w:tcPr>
            <w:tcW w:w="2580" w:type="dxa"/>
            <w:vAlign w:val="bottom"/>
          </w:tcPr>
          <w:p>
            <w:pPr>
              <w:jc w:val="center"/>
              <w:spacing w:after="0" w:line="216" w:lineRule="exact"/>
              <w:rPr>
                <w:sz w:val="20"/>
                <w:szCs w:val="20"/>
                <w:color w:val="auto"/>
              </w:rPr>
            </w:pPr>
            <w:r>
              <w:rPr>
                <w:rFonts w:ascii="Calibri" w:cs="Calibri" w:eastAsia="Calibri" w:hAnsi="Calibri"/>
                <w:sz w:val="18"/>
                <w:szCs w:val="18"/>
                <w:color w:val="auto"/>
                <w:w w:val="99"/>
              </w:rPr>
              <w:t>29% (n=15)</w:t>
            </w:r>
          </w:p>
        </w:tc>
        <w:tc>
          <w:tcPr>
            <w:tcW w:w="0" w:type="dxa"/>
            <w:vAlign w:val="bottom"/>
          </w:tcPr>
          <w:p>
            <w:pPr>
              <w:spacing w:after="0"/>
              <w:rPr>
                <w:sz w:val="1"/>
                <w:szCs w:val="1"/>
                <w:color w:val="auto"/>
              </w:rPr>
            </w:pPr>
          </w:p>
        </w:tc>
      </w:tr>
    </w:tbl>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ELVN-001’s Safety Profle Consistent with High Selectvity for ABL1</w:t>
      </w:r>
    </w:p>
    <w:p>
      <w:pPr>
        <w:spacing w:after="0" w:line="118" w:lineRule="exact"/>
        <w:rPr>
          <w:sz w:val="20"/>
          <w:szCs w:val="20"/>
          <w:color w:val="auto"/>
        </w:rPr>
      </w:pPr>
    </w:p>
    <w:p>
      <w:pPr>
        <w:ind w:left="960" w:hanging="424"/>
        <w:spacing w:after="0"/>
        <w:tabs>
          <w:tab w:leader="none" w:pos="960" w:val="left"/>
        </w:tabs>
        <w:numPr>
          <w:ilvl w:val="0"/>
          <w:numId w:val="12"/>
        </w:numPr>
        <w:rPr>
          <w:rFonts w:ascii="Calibri" w:cs="Calibri" w:eastAsia="Calibri" w:hAnsi="Calibri"/>
          <w:sz w:val="18"/>
          <w:szCs w:val="18"/>
          <w:color w:val="auto"/>
        </w:rPr>
      </w:pPr>
      <w:r>
        <w:rPr>
          <w:rFonts w:ascii="Calibri" w:cs="Calibri" w:eastAsia="Calibri" w:hAnsi="Calibri"/>
          <w:sz w:val="18"/>
          <w:szCs w:val="18"/>
          <w:color w:val="auto"/>
        </w:rPr>
        <w:t>ELVN-001 was generally well-tolerated, consistent with its high selectvity.</w:t>
      </w:r>
    </w:p>
    <w:p>
      <w:pPr>
        <w:spacing w:after="0" w:line="117" w:lineRule="exact"/>
        <w:rPr>
          <w:rFonts w:ascii="Calibri" w:cs="Calibri" w:eastAsia="Calibri" w:hAnsi="Calibri"/>
          <w:sz w:val="18"/>
          <w:szCs w:val="18"/>
          <w:color w:val="auto"/>
        </w:rPr>
      </w:pPr>
    </w:p>
    <w:p>
      <w:pPr>
        <w:ind w:left="960" w:hanging="424"/>
        <w:spacing w:after="0"/>
        <w:tabs>
          <w:tab w:leader="none" w:pos="960" w:val="left"/>
        </w:tabs>
        <w:numPr>
          <w:ilvl w:val="0"/>
          <w:numId w:val="12"/>
        </w:numPr>
        <w:rPr>
          <w:rFonts w:ascii="Calibri" w:cs="Calibri" w:eastAsia="Calibri" w:hAnsi="Calibri"/>
          <w:sz w:val="18"/>
          <w:szCs w:val="18"/>
          <w:color w:val="auto"/>
        </w:rPr>
      </w:pPr>
      <w:r>
        <w:rPr>
          <w:rFonts w:ascii="Calibri" w:cs="Calibri" w:eastAsia="Calibri" w:hAnsi="Calibri"/>
          <w:sz w:val="18"/>
          <w:szCs w:val="18"/>
          <w:color w:val="auto"/>
        </w:rPr>
        <w:t>6% of patents discontnued due to adverse events.</w:t>
      </w:r>
    </w:p>
    <w:p>
      <w:pPr>
        <w:spacing w:after="0" w:line="117" w:lineRule="exact"/>
        <w:rPr>
          <w:rFonts w:ascii="Calibri" w:cs="Calibri" w:eastAsia="Calibri" w:hAnsi="Calibri"/>
          <w:sz w:val="18"/>
          <w:szCs w:val="18"/>
          <w:color w:val="auto"/>
        </w:rPr>
      </w:pPr>
    </w:p>
    <w:p>
      <w:pPr>
        <w:ind w:left="960" w:hanging="424"/>
        <w:spacing w:after="0"/>
        <w:tabs>
          <w:tab w:leader="none" w:pos="960" w:val="left"/>
        </w:tabs>
        <w:numPr>
          <w:ilvl w:val="0"/>
          <w:numId w:val="12"/>
        </w:numPr>
        <w:rPr>
          <w:rFonts w:ascii="Calibri" w:cs="Calibri" w:eastAsia="Calibri" w:hAnsi="Calibri"/>
          <w:sz w:val="18"/>
          <w:szCs w:val="18"/>
          <w:color w:val="auto"/>
        </w:rPr>
      </w:pPr>
      <w:r>
        <w:rPr>
          <w:rFonts w:ascii="Calibri" w:cs="Calibri" w:eastAsia="Calibri" w:hAnsi="Calibri"/>
          <w:sz w:val="18"/>
          <w:szCs w:val="18"/>
          <w:color w:val="auto"/>
        </w:rPr>
        <w:t>The majority of treatment-emergent adverse events (TEAEs) were Grade 1 or 2.</w:t>
      </w:r>
    </w:p>
    <w:p>
      <w:pPr>
        <w:spacing w:after="0" w:line="126" w:lineRule="exact"/>
        <w:rPr>
          <w:rFonts w:ascii="Calibri" w:cs="Calibri" w:eastAsia="Calibri" w:hAnsi="Calibri"/>
          <w:sz w:val="18"/>
          <w:szCs w:val="18"/>
          <w:color w:val="auto"/>
        </w:rPr>
      </w:pPr>
    </w:p>
    <w:p>
      <w:pPr>
        <w:ind w:left="960" w:right="100" w:hanging="424"/>
        <w:spacing w:after="0"/>
        <w:tabs>
          <w:tab w:leader="none" w:pos="960" w:val="left"/>
        </w:tabs>
        <w:numPr>
          <w:ilvl w:val="0"/>
          <w:numId w:val="12"/>
        </w:numPr>
        <w:rPr>
          <w:rFonts w:ascii="Calibri" w:cs="Calibri" w:eastAsia="Calibri" w:hAnsi="Calibri"/>
          <w:sz w:val="18"/>
          <w:szCs w:val="18"/>
          <w:color w:val="auto"/>
        </w:rPr>
      </w:pPr>
      <w:r>
        <w:rPr>
          <w:rFonts w:ascii="Calibri" w:cs="Calibri" w:eastAsia="Calibri" w:hAnsi="Calibri"/>
          <w:sz w:val="18"/>
          <w:szCs w:val="18"/>
          <w:color w:val="auto"/>
        </w:rPr>
        <w:t xml:space="preserve">Grade </w:t>
      </w:r>
      <w:r>
        <w:rPr>
          <w:rFonts w:ascii="Times New Roman" w:cs="Times New Roman" w:eastAsia="Times New Roman" w:hAnsi="Times New Roman"/>
          <w:sz w:val="18"/>
          <w:szCs w:val="18"/>
          <w:color w:val="auto"/>
        </w:rPr>
        <w:t>≥</w:t>
      </w:r>
      <w:r>
        <w:rPr>
          <w:rFonts w:ascii="Calibri" w:cs="Calibri" w:eastAsia="Calibri" w:hAnsi="Calibri"/>
          <w:sz w:val="18"/>
          <w:szCs w:val="18"/>
          <w:color w:val="auto"/>
        </w:rPr>
        <w:t>3 TEAEs were reported in 53/158 (34%) patents overall; with thrombocytopenia (6%), neutropenia (6%) and lipase elevaton (6%) as the most common.</w:t>
      </w:r>
    </w:p>
    <w:p>
      <w:pPr>
        <w:spacing w:after="0" w:line="127" w:lineRule="exact"/>
        <w:rPr>
          <w:rFonts w:ascii="Calibri" w:cs="Calibri" w:eastAsia="Calibri" w:hAnsi="Calibri"/>
          <w:sz w:val="18"/>
          <w:szCs w:val="18"/>
          <w:color w:val="auto"/>
        </w:rPr>
      </w:pPr>
    </w:p>
    <w:p>
      <w:pPr>
        <w:ind w:left="1420" w:right="200" w:hanging="331"/>
        <w:spacing w:after="0" w:line="266" w:lineRule="auto"/>
        <w:tabs>
          <w:tab w:leader="none" w:pos="1420" w:val="left"/>
        </w:tabs>
        <w:numPr>
          <w:ilvl w:val="1"/>
          <w:numId w:val="12"/>
        </w:numPr>
        <w:rPr>
          <w:rFonts w:ascii="Calibri" w:cs="Calibri" w:eastAsia="Calibri" w:hAnsi="Calibri"/>
          <w:sz w:val="18"/>
          <w:szCs w:val="18"/>
          <w:color w:val="auto"/>
        </w:rPr>
      </w:pPr>
      <w:r>
        <w:rPr>
          <w:rFonts w:ascii="Calibri" w:cs="Calibri" w:eastAsia="Calibri" w:hAnsi="Calibri"/>
          <w:sz w:val="18"/>
          <w:szCs w:val="18"/>
          <w:color w:val="auto"/>
        </w:rPr>
        <w:t xml:space="preserve">At the biologically optmal dose of 80 mg QD (n=62), Grade </w:t>
      </w:r>
      <w:r>
        <w:rPr>
          <w:rFonts w:ascii="Times New Roman" w:cs="Times New Roman" w:eastAsia="Times New Roman" w:hAnsi="Times New Roman"/>
          <w:sz w:val="18"/>
          <w:szCs w:val="18"/>
          <w:color w:val="auto"/>
        </w:rPr>
        <w:t>≥</w:t>
      </w:r>
      <w:r>
        <w:rPr>
          <w:rFonts w:ascii="Calibri" w:cs="Calibri" w:eastAsia="Calibri" w:hAnsi="Calibri"/>
          <w:sz w:val="18"/>
          <w:szCs w:val="18"/>
          <w:color w:val="auto"/>
        </w:rPr>
        <w:t xml:space="preserve">3 TEAEs were reported in 15/62 (24%) patents, with thrombocytopenia (6%) being the only Grade </w:t>
      </w:r>
      <w:r>
        <w:rPr>
          <w:rFonts w:ascii="Times New Roman" w:cs="Times New Roman" w:eastAsia="Times New Roman" w:hAnsi="Times New Roman"/>
          <w:sz w:val="18"/>
          <w:szCs w:val="18"/>
          <w:color w:val="auto"/>
        </w:rPr>
        <w:t>≥</w:t>
      </w:r>
      <w:r>
        <w:rPr>
          <w:rFonts w:ascii="Calibri" w:cs="Calibri" w:eastAsia="Calibri" w:hAnsi="Calibri"/>
          <w:sz w:val="18"/>
          <w:szCs w:val="18"/>
          <w:color w:val="auto"/>
        </w:rPr>
        <w:t>3 TEAE reported in &gt;5% of patents.</w:t>
      </w:r>
    </w:p>
    <w:p>
      <w:pPr>
        <w:spacing w:after="0" w:line="287" w:lineRule="exact"/>
        <w:rPr>
          <w:sz w:val="20"/>
          <w:szCs w:val="20"/>
          <w:color w:val="auto"/>
        </w:rPr>
      </w:pPr>
    </w:p>
    <w:p>
      <w:pPr>
        <w:spacing w:after="0"/>
        <w:rPr>
          <w:sz w:val="20"/>
          <w:szCs w:val="20"/>
          <w:color w:val="auto"/>
        </w:rPr>
      </w:pPr>
      <w:r>
        <w:rPr>
          <w:rFonts w:ascii="Calibri" w:cs="Calibri" w:eastAsia="Calibri" w:hAnsi="Calibri"/>
          <w:sz w:val="18"/>
          <w:szCs w:val="18"/>
          <w:b w:val="1"/>
          <w:bCs w:val="1"/>
          <w:u w:val="single" w:color="auto"/>
          <w:color w:val="auto"/>
        </w:rPr>
        <w:t>Key Outcomes from the End-of-Phase 1 Meetng with the FDA</w:t>
      </w:r>
    </w:p>
    <w:p>
      <w:pPr>
        <w:spacing w:after="0" w:line="118" w:lineRule="exact"/>
        <w:rPr>
          <w:sz w:val="20"/>
          <w:szCs w:val="20"/>
          <w:color w:val="auto"/>
        </w:rPr>
      </w:pPr>
    </w:p>
    <w:p>
      <w:pPr>
        <w:ind w:left="960" w:hanging="424"/>
        <w:spacing w:after="0"/>
        <w:tabs>
          <w:tab w:leader="none" w:pos="960" w:val="left"/>
        </w:tabs>
        <w:numPr>
          <w:ilvl w:val="0"/>
          <w:numId w:val="13"/>
        </w:numPr>
        <w:rPr>
          <w:rFonts w:ascii="Calibri" w:cs="Calibri" w:eastAsia="Calibri" w:hAnsi="Calibri"/>
          <w:sz w:val="18"/>
          <w:szCs w:val="18"/>
          <w:color w:val="auto"/>
        </w:rPr>
      </w:pPr>
      <w:r>
        <w:rPr>
          <w:rFonts w:ascii="Calibri" w:cs="Calibri" w:eastAsia="Calibri" w:hAnsi="Calibri"/>
          <w:sz w:val="18"/>
          <w:szCs w:val="18"/>
          <w:color w:val="auto"/>
        </w:rPr>
        <w:t>80 mg QD selected as the recommended dose for Phase 3 ENABLE-2 trial.</w:t>
      </w:r>
    </w:p>
    <w:p>
      <w:pPr>
        <w:spacing w:after="0" w:line="122" w:lineRule="exact"/>
        <w:rPr>
          <w:rFonts w:ascii="Calibri" w:cs="Calibri" w:eastAsia="Calibri" w:hAnsi="Calibri"/>
          <w:sz w:val="18"/>
          <w:szCs w:val="18"/>
          <w:color w:val="auto"/>
        </w:rPr>
      </w:pPr>
    </w:p>
    <w:p>
      <w:pPr>
        <w:ind w:left="960" w:right="20" w:hanging="424"/>
        <w:spacing w:after="0" w:line="235" w:lineRule="auto"/>
        <w:tabs>
          <w:tab w:leader="none" w:pos="960" w:val="left"/>
        </w:tabs>
        <w:numPr>
          <w:ilvl w:val="0"/>
          <w:numId w:val="13"/>
        </w:numPr>
        <w:rPr>
          <w:rFonts w:ascii="Calibri" w:cs="Calibri" w:eastAsia="Calibri" w:hAnsi="Calibri"/>
          <w:sz w:val="18"/>
          <w:szCs w:val="18"/>
          <w:color w:val="auto"/>
        </w:rPr>
      </w:pPr>
      <w:r>
        <w:rPr>
          <w:rFonts w:ascii="Calibri" w:cs="Calibri" w:eastAsia="Calibri" w:hAnsi="Calibri"/>
          <w:sz w:val="18"/>
          <w:szCs w:val="18"/>
          <w:color w:val="auto"/>
        </w:rPr>
        <w:t>ENABLE-2 is expected to enroll patents with CML previously treated with one or more TKIs, and to be randomized to receive either ELVN-001 or physician’s choice of an ATP-compettve TKI.</w:t>
      </w:r>
    </w:p>
    <w:p>
      <w:pPr>
        <w:spacing w:after="0" w:line="123" w:lineRule="exact"/>
        <w:rPr>
          <w:rFonts w:ascii="Calibri" w:cs="Calibri" w:eastAsia="Calibri" w:hAnsi="Calibri"/>
          <w:sz w:val="18"/>
          <w:szCs w:val="18"/>
          <w:color w:val="auto"/>
        </w:rPr>
      </w:pPr>
    </w:p>
    <w:p>
      <w:pPr>
        <w:ind w:left="960" w:right="220" w:hanging="424"/>
        <w:spacing w:after="0" w:line="235" w:lineRule="auto"/>
        <w:tabs>
          <w:tab w:leader="none" w:pos="960" w:val="left"/>
        </w:tabs>
        <w:numPr>
          <w:ilvl w:val="0"/>
          <w:numId w:val="13"/>
        </w:numPr>
        <w:rPr>
          <w:rFonts w:ascii="Calibri" w:cs="Calibri" w:eastAsia="Calibri" w:hAnsi="Calibri"/>
          <w:sz w:val="18"/>
          <w:szCs w:val="18"/>
          <w:color w:val="auto"/>
        </w:rPr>
      </w:pPr>
      <w:r>
        <w:rPr>
          <w:rFonts w:ascii="Calibri" w:cs="Calibri" w:eastAsia="Calibri" w:hAnsi="Calibri"/>
          <w:sz w:val="18"/>
          <w:szCs w:val="18"/>
          <w:color w:val="auto"/>
        </w:rPr>
        <w:t>Additonal details of the Phase 3 trial design are expected to be fnalized following further discussions with the FDA, including at a planned End-of-Phase 2 meetng antcipated in the third quarter of 2026.</w:t>
      </w:r>
    </w:p>
    <w:p>
      <w:pPr>
        <w:spacing w:after="0" w:line="218"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oral presentaton ttled: “</w:t>
      </w:r>
      <w:r>
        <w:rPr>
          <w:rFonts w:ascii="Calibri" w:cs="Calibri" w:eastAsia="Calibri" w:hAnsi="Calibri"/>
          <w:sz w:val="18"/>
          <w:szCs w:val="18"/>
          <w:i w:val="1"/>
          <w:iCs w:val="1"/>
          <w:color w:val="auto"/>
        </w:rPr>
        <w:t>ENABLE: Updated Efcacy and Safety Results of ELVN-001, a Novel Selectve ATP-Compettve Inhibitor of BCR::ABL1, in</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Patents with Previously Treated CP-CML</w:t>
      </w:r>
      <w:r>
        <w:rPr>
          <w:rFonts w:ascii="Calibri" w:cs="Calibri" w:eastAsia="Calibri" w:hAnsi="Calibri"/>
          <w:sz w:val="18"/>
          <w:szCs w:val="18"/>
          <w:color w:val="auto"/>
        </w:rPr>
        <w:t>” will be presented today at 5:45 p.m. CEST during the European Hematology Associaton Congress in Stockholm,</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Sweden, by Dennis Kim, M.D., Professor of Medicine, Department of Medical Oncology and Hematology at the Princess Margaret Cancer Centre, Canada. A copy of the presentaton will be available on the “</w:t>
      </w:r>
      <w:r>
        <w:rPr>
          <w:rFonts w:ascii="Calibri" w:cs="Calibri" w:eastAsia="Calibri" w:hAnsi="Calibri"/>
          <w:sz w:val="18"/>
          <w:szCs w:val="18"/>
          <w:u w:val="single" w:color="auto"/>
          <w:color w:val="auto"/>
        </w:rPr>
        <w:t>Program Presentatons &amp; Publicatons</w:t>
      </w:r>
      <w:r>
        <w:rPr>
          <w:rFonts w:ascii="Calibri" w:cs="Calibri" w:eastAsia="Calibri" w:hAnsi="Calibri"/>
          <w:sz w:val="18"/>
          <w:szCs w:val="18"/>
          <w:color w:val="auto"/>
        </w:rPr>
        <w:t xml:space="preserve">” secton of the Company’s website at </w:t>
      </w:r>
      <w:r>
        <w:rPr>
          <w:rFonts w:ascii="Calibri" w:cs="Calibri" w:eastAsia="Calibri" w:hAnsi="Calibri"/>
          <w:sz w:val="18"/>
          <w:szCs w:val="18"/>
          <w:u w:val="single" w:color="auto"/>
          <w:color w:val="auto"/>
        </w:rPr>
        <w:t>www.enliventherapeutcs.com</w:t>
      </w:r>
      <w:r>
        <w:rPr>
          <w:rFonts w:ascii="Calibri" w:cs="Calibri" w:eastAsia="Calibri" w:hAnsi="Calibri"/>
          <w:sz w:val="18"/>
          <w:szCs w:val="18"/>
          <w:color w:val="auto"/>
        </w:rPr>
        <w:t>.</w:t>
      </w:r>
    </w:p>
    <w:p>
      <w:pPr>
        <w:spacing w:after="0" w:line="32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Webcast and Conference Call Informaton</w:t>
      </w:r>
    </w:p>
    <w:p>
      <w:pPr>
        <w:spacing w:after="0" w:line="109" w:lineRule="exact"/>
        <w:rPr>
          <w:sz w:val="20"/>
          <w:szCs w:val="20"/>
          <w:color w:val="auto"/>
        </w:rPr>
      </w:pPr>
    </w:p>
    <w:p>
      <w:pPr>
        <w:ind w:right="240"/>
        <w:spacing w:after="0" w:line="235" w:lineRule="auto"/>
        <w:rPr>
          <w:sz w:val="20"/>
          <w:szCs w:val="20"/>
          <w:color w:val="auto"/>
        </w:rPr>
      </w:pPr>
      <w:r>
        <w:rPr>
          <w:rFonts w:ascii="Calibri" w:cs="Calibri" w:eastAsia="Calibri" w:hAnsi="Calibri"/>
          <w:sz w:val="18"/>
          <w:szCs w:val="18"/>
          <w:color w:val="auto"/>
        </w:rPr>
        <w:t xml:space="preserve">Enliven will host a live webcast and conference call today at 8:30 a.m. ET / 2:30 p.m. CEST. To partcipate in the live event, please register using this </w:t>
      </w:r>
      <w:r>
        <w:rPr>
          <w:rFonts w:ascii="Calibri" w:cs="Calibri" w:eastAsia="Calibri" w:hAnsi="Calibri"/>
          <w:sz w:val="18"/>
          <w:szCs w:val="18"/>
          <w:u w:val="single" w:color="auto"/>
          <w:color w:val="auto"/>
        </w:rPr>
        <w:t>link</w:t>
      </w:r>
      <w:r>
        <w:rPr>
          <w:rFonts w:ascii="Calibri" w:cs="Calibri" w:eastAsia="Calibri" w:hAnsi="Calibri"/>
          <w:sz w:val="18"/>
          <w:szCs w:val="18"/>
          <w:color w:val="auto"/>
        </w:rPr>
        <w:t xml:space="preserve">. Following registraton, partcipants will have access to dial in numbers and a unique passcode should they prefer to partcipate by phone. The event and accompanying slides can also be accessed by visitng the investor relatons secton of the Company’s website at </w:t>
      </w:r>
      <w:r>
        <w:rPr>
          <w:rFonts w:ascii="Calibri" w:cs="Calibri" w:eastAsia="Calibri" w:hAnsi="Calibri"/>
          <w:sz w:val="18"/>
          <w:szCs w:val="18"/>
          <w:u w:val="single" w:color="auto"/>
          <w:color w:val="auto"/>
        </w:rPr>
        <w:t>htps://ir.enliventherapeutcs.com</w:t>
      </w:r>
      <w:r>
        <w:rPr>
          <w:rFonts w:ascii="Calibri" w:cs="Calibri" w:eastAsia="Calibri" w:hAnsi="Calibri"/>
          <w:sz w:val="18"/>
          <w:szCs w:val="18"/>
          <w:color w:val="auto"/>
        </w:rPr>
        <w:t>. An archived webcast will be available on the Company’s website following the event.</w:t>
      </w:r>
    </w:p>
    <w:p>
      <w:pPr>
        <w:sectPr>
          <w:pgSz w:w="11900" w:h="16838" w:orient="portrait"/>
          <w:cols w:equalWidth="0" w:num="1">
            <w:col w:w="11020"/>
          </w:cols>
          <w:pgMar w:left="440" w:top="1260" w:right="439" w:bottom="1440" w:gutter="0" w:footer="0" w:header="0"/>
        </w:sectPr>
      </w:pPr>
    </w:p>
    <w:bookmarkStart w:id="8" w:name="page9"/>
    <w:bookmarkEnd w:id="8"/>
    <w:p>
      <w:pPr>
        <w:spacing w:after="0"/>
        <w:rPr>
          <w:sz w:val="20"/>
          <w:szCs w:val="20"/>
          <w:color w:val="auto"/>
        </w:rPr>
      </w:pPr>
      <w:r>
        <w:rPr>
          <w:rFonts w:ascii="Calibri" w:cs="Calibri" w:eastAsia="Calibri" w:hAnsi="Calibri"/>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42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642620"/>
                    </a:xfrm>
                    <a:prstGeom prst="rect">
                      <a:avLst/>
                    </a:prstGeom>
                    <a:noFill/>
                  </pic:spPr>
                </pic:pic>
              </a:graphicData>
            </a:graphic>
          </wp:anchor>
        </w:drawing>
        <w:t>About the ENABLE Trial</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ENABLE study (</w:t>
      </w:r>
      <w:r>
        <w:rPr>
          <w:rFonts w:ascii="Calibri" w:cs="Calibri" w:eastAsia="Calibri" w:hAnsi="Calibri"/>
          <w:sz w:val="18"/>
          <w:szCs w:val="18"/>
          <w:u w:val="single" w:color="auto"/>
          <w:color w:val="auto"/>
        </w:rPr>
        <w:t>NCT05304377</w:t>
      </w:r>
      <w:r>
        <w:rPr>
          <w:rFonts w:ascii="Calibri" w:cs="Calibri" w:eastAsia="Calibri" w:hAnsi="Calibri"/>
          <w:sz w:val="18"/>
          <w:szCs w:val="18"/>
          <w:color w:val="auto"/>
        </w:rPr>
        <w:t>) is a Phase 1 study of ELVN-001 in patents with previously treated CML. ENABLE is a dose escalaton and expansion trial designed to evaluate safety and tolerability and to determine the recommended dose for further clinical evaluaton of ELVN-001 in patents with CML with and without T315I mutatons that is relapsed, refractory or intolerant to TKIs. Secondary endpoints include pharmacokinetcs, MMR by central quanttatve reverse transcriptase polymerase chain reacton, duraton of MMR, BCR::ABL1 transcript levels and complete hematologic response.</w:t>
      </w:r>
    </w:p>
    <w:p>
      <w:pPr>
        <w:spacing w:after="0" w:line="32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About ELVN-001</w:t>
      </w:r>
    </w:p>
    <w:p>
      <w:pPr>
        <w:spacing w:after="0" w:line="109"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ELVN-001 is a potent, highly selectve, potentally best-in-class small molecule kinase inhibitor designed to specifcally target the BCR::ABL gene fusion, the oncogenic driver for patents with chronic myeloid leukemia. ELVN-001, a highly selectve actve-site TKI, has a mechanism of acton that is complementary to allosteric BCR::ABL1 inhibitors, which may play an increasingly important role in the standard of care. ELVN-001 was designed to have actvity against the T315I mutaton, the most common BCR::ABL1 mutaton, which confers resistance to nearly all approved TKIs, as well as actvity against mutatons known to confer resistance to allosteric BCR::ABL1 inhibitors.</w:t>
      </w:r>
    </w:p>
    <w:p>
      <w:pPr>
        <w:spacing w:after="0" w:line="32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About Enliven Therapeutcs</w:t>
      </w:r>
    </w:p>
    <w:p>
      <w:pPr>
        <w:spacing w:after="0" w:line="109" w:lineRule="exact"/>
        <w:rPr>
          <w:sz w:val="20"/>
          <w:szCs w:val="20"/>
          <w:color w:val="auto"/>
        </w:rPr>
      </w:pPr>
    </w:p>
    <w:p>
      <w:pPr>
        <w:ind w:right="160"/>
        <w:spacing w:after="0" w:line="252" w:lineRule="auto"/>
        <w:rPr>
          <w:sz w:val="20"/>
          <w:szCs w:val="20"/>
          <w:color w:val="auto"/>
        </w:rPr>
      </w:pPr>
      <w:r>
        <w:rPr>
          <w:rFonts w:ascii="Calibri" w:cs="Calibri" w:eastAsia="Calibri" w:hAnsi="Calibri"/>
          <w:sz w:val="17"/>
          <w:szCs w:val="17"/>
          <w:color w:val="auto"/>
        </w:rPr>
        <w:t xml:space="preserve">Enliven is a clinical-stage biopharmaceutcal company focused on the discovery and development of small molecule therapeutcs to help people not only live longer, but live beter. Enliven aims to address existng and emerging unmet needs with a precision medicine approach that improves survival and enhances overall well-being. Enliven’s discovery process combines deep insights into clinically validated biological targets and diferentated chemistry to design potentally frst-in-class or best-in-class therapies. To learn more, visit </w:t>
      </w:r>
      <w:r>
        <w:rPr>
          <w:rFonts w:ascii="Calibri" w:cs="Calibri" w:eastAsia="Calibri" w:hAnsi="Calibri"/>
          <w:sz w:val="17"/>
          <w:szCs w:val="17"/>
          <w:u w:val="single" w:color="auto"/>
          <w:color w:val="auto"/>
        </w:rPr>
        <w:t>www.enliventherapeutcs.com</w:t>
      </w:r>
      <w:r>
        <w:rPr>
          <w:rFonts w:ascii="Calibri" w:cs="Calibri" w:eastAsia="Calibri" w:hAnsi="Calibri"/>
          <w:sz w:val="17"/>
          <w:szCs w:val="17"/>
          <w:color w:val="auto"/>
        </w:rPr>
        <w:t xml:space="preserve"> and connect with us on </w:t>
      </w:r>
      <w:r>
        <w:rPr>
          <w:rFonts w:ascii="Calibri" w:cs="Calibri" w:eastAsia="Calibri" w:hAnsi="Calibri"/>
          <w:sz w:val="17"/>
          <w:szCs w:val="17"/>
          <w:u w:val="single" w:color="auto"/>
          <w:color w:val="auto"/>
        </w:rPr>
        <w:t>LinkedIn</w:t>
      </w:r>
      <w:r>
        <w:rPr>
          <w:rFonts w:ascii="Calibri" w:cs="Calibri" w:eastAsia="Calibri" w:hAnsi="Calibri"/>
          <w:sz w:val="17"/>
          <w:szCs w:val="17"/>
          <w:color w:val="auto"/>
        </w:rPr>
        <w:t xml:space="preserve"> and </w:t>
      </w:r>
      <w:r>
        <w:rPr>
          <w:rFonts w:ascii="Calibri" w:cs="Calibri" w:eastAsia="Calibri" w:hAnsi="Calibri"/>
          <w:sz w:val="17"/>
          <w:szCs w:val="17"/>
          <w:u w:val="single" w:color="auto"/>
          <w:color w:val="auto"/>
        </w:rPr>
        <w:t>X</w:t>
      </w:r>
    </w:p>
    <w:p>
      <w:pPr>
        <w:spacing w:after="0" w:line="3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Forward-Looking Statements</w:t>
      </w:r>
    </w:p>
    <w:p>
      <w:pPr>
        <w:spacing w:after="0" w:line="109" w:lineRule="exact"/>
        <w:rPr>
          <w:sz w:val="20"/>
          <w:szCs w:val="20"/>
          <w:color w:val="auto"/>
        </w:rPr>
      </w:pPr>
    </w:p>
    <w:p>
      <w:pPr>
        <w:ind w:right="120"/>
        <w:spacing w:after="0" w:line="251" w:lineRule="auto"/>
        <w:rPr>
          <w:sz w:val="20"/>
          <w:szCs w:val="20"/>
          <w:color w:val="auto"/>
        </w:rPr>
      </w:pPr>
      <w:r>
        <w:rPr>
          <w:rFonts w:ascii="Calibri" w:cs="Calibri" w:eastAsia="Calibri" w:hAnsi="Calibri"/>
          <w:sz w:val="17"/>
          <w:szCs w:val="17"/>
          <w:color w:val="auto"/>
        </w:rPr>
        <w:t>This press release contains forward-looking statements (including within the meaning of Secton 21E of the Securites Exchange Act of 1934, as amended, and Secton 27A of the Securites Act of 1933, as amended) concerning Enliven and other maters that involve substantal risks and uncertaintes. These statements may discuss goals, intentons and expectatons as to future plans, trends, events, results of operatons and fnancial conditon, or otherwise, based on current beliefs of Enliven’s management, as well as assumptons made by, and informaton currently available to, Enliven’s management. Forward-looking statements generally include statements that are predictve in nature and depend upon or refer to future events or conditons, and include words such as “may,” “will,” “should,” “would,” “expect,” “antcipate,” “plan,” “likely,” “believe,” “estmate,” “project,” “intend,” and other similar expressions or the negatve or plural of these words, or other similar expressions that are predictons or indicate future events or prospects,</w:t>
      </w:r>
    </w:p>
    <w:p>
      <w:pPr>
        <w:sectPr>
          <w:pgSz w:w="11900" w:h="16838" w:orient="portrait"/>
          <w:cols w:equalWidth="0" w:num="1">
            <w:col w:w="11000"/>
          </w:cols>
          <w:pgMar w:left="440" w:top="1273" w:right="459" w:bottom="1440" w:gutter="0" w:footer="0" w:header="0"/>
        </w:sectPr>
      </w:pPr>
    </w:p>
    <w:bookmarkStart w:id="9" w:name="page10"/>
    <w:bookmarkEnd w:id="9"/>
    <w:p>
      <w:pPr>
        <w:spacing w:after="0" w:line="250" w:lineRule="auto"/>
        <w:rPr>
          <w:sz w:val="20"/>
          <w:szCs w:val="20"/>
          <w:color w:val="auto"/>
        </w:rPr>
      </w:pPr>
      <w:r>
        <w:rPr>
          <w:rFonts w:ascii="Calibri" w:cs="Calibri" w:eastAsia="Calibri" w:hAnsi="Calibri"/>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42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642620"/>
                    </a:xfrm>
                    <a:prstGeom prst="rect">
                      <a:avLst/>
                    </a:prstGeom>
                    <a:noFill/>
                  </pic:spPr>
                </pic:pic>
              </a:graphicData>
            </a:graphic>
          </wp:anchor>
        </w:drawing>
        <w:t>although not all forward-looking statements contain these words. Statements that are not historical facts are forward-looking statements. Forward-looking statements in this press release include, but are not limited to: statements regarding the potental profle, actvity, selectvity, safety, tolerability, efcacy, diferentated atributes, therapeutc beneft and potental best-in-class or complementary profle of ELVN-001 to allosteric inhibitors; the interpretaton of data from the ongoing ENABLE trial, including MMR rate, safety and tolerability data; comparisons to historical or precedent clinical trial results; the tming, content and availability of additonal clinical data and presentaton materials; the contnued conduct, design, objectves, endpoints, dose selecton and future clinical evaluaton of ELVN-001, including the planned ENABLE-2 Phase 3 trial, the potental tming of initaton of ENABLE-2, the potental tming and outcome of further FDA discussions and the fnalizaton of additonal Phase 3 trial design details; and statements by Enliven’s Chief Medical Ofcer, and Dennis Kim, M.D., Professor of Medicine, Department of Medical Oncology and Hematology at the Princess Margaret Cancer Centre, Canada. Forward-looking statements are based on current beliefs and assumptons that are subject to risks and uncertaintes and are not guarantees of future performance. Actual results could difer materially from those contained in any forward-looking statement as a result of various risks and uncertaintes, including, without limitaton; the potental for interim, topline and preliminary results from Enliven’s clinical trials to materially change as additonal patent data become available or following more comprehensive review; the potental for results from the ongoing or any future clinical trial of ELVN-001 to difer from the results of earlier trials of ELVN-001; ELVN-001 failing to demonstrate sufcient safety, efcacy, tolerability, durability, diferentated atributes or therapeutc beneft in current or future clinical trials; risks associated with unexpected events during the remainder of the ENABLE trial including serious adverse events, toxicites, dose reductons, discontnuatons or other undesirable side efects; delays or difcultes in recruitng, enrolling or maintaining patents in ELVN-001 clinical trials; the risks of delays in completng the ongoing ENABLE trial or initatng ENABLE-2; Enliven failing to complete the ongoing ENABLE trial, to present additonal data, to initate ENABLE-2 or to advance ELVN-001 through clinical development; regulatory authorites disagreeing with Enliven’s clinical trial design, dose selecton, endpoints or interpretaton of data, or requiring additonal studies or diagnostcs; lack of reliability of cross-trial comparisons because the referenced data are derived from diferent clinical trials at diferent points in tme, with diferences in trial design and patent populatons, and results may difer in head-to-head studies; developments relatng to Enliven’s compettors and industry which may afect the development or potental market opportunity for ELVN-001; and the potental inability of Enliven to obtain regulatory approval for, or ultmately commercialize or license, ELVN-001 or other product candidates; Enliven’s limited resources; the ability to atract, hire, and retain highly skilled executve ofcers and employees; the ability of Enliven to protect its intellectual property and proprietary technologies; the scope of any patent protecton Enliven obtains or the loss of any of Enliven’s patent protecton; reliance on third partes, including medical insttutons, contract manufacturing organizatons, contract research organizatons and strategic partners; geo-politcal developments, general market or macroeconomic conditons; Enliven’s ability to obtain additonal capital to fund Enliven’s general corporate actvites and to fund Enliven’s research and</w:t>
      </w:r>
    </w:p>
    <w:p>
      <w:pPr>
        <w:sectPr>
          <w:pgSz w:w="11900" w:h="16838" w:orient="portrait"/>
          <w:cols w:equalWidth="0" w:num="1">
            <w:col w:w="11000"/>
          </w:cols>
          <w:pgMar w:left="440" w:top="1278" w:right="459" w:bottom="1440" w:gutter="0" w:footer="0" w:header="0"/>
        </w:sectPr>
      </w:pPr>
    </w:p>
    <w:bookmarkStart w:id="10" w:name="page11"/>
    <w:bookmarkEnd w:id="10"/>
    <w:p>
      <w:pPr>
        <w:ind w:right="440"/>
        <w:spacing w:after="0" w:line="249" w:lineRule="auto"/>
        <w:rPr>
          <w:sz w:val="20"/>
          <w:szCs w:val="20"/>
          <w:color w:val="auto"/>
        </w:rPr>
      </w:pPr>
      <w:r>
        <w:rPr>
          <w:rFonts w:ascii="Calibri" w:cs="Calibri" w:eastAsia="Calibri" w:hAnsi="Calibri"/>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43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643255"/>
                    </a:xfrm>
                    <a:prstGeom prst="rect">
                      <a:avLst/>
                    </a:prstGeom>
                    <a:noFill/>
                  </pic:spPr>
                </pic:pic>
              </a:graphicData>
            </a:graphic>
          </wp:anchor>
        </w:drawing>
        <w:t>development; and other risks and uncertaintes more fully described in Enliven’s flings with the Securites and Exchange Commission (SEC), including under the heading “Risk Factors” in Enliven’s Annual and Quarterly Reports on Form 10-K and Form 10-Q fled with the SEC and in Enliven’s</w:t>
      </w:r>
    </w:p>
    <w:p>
      <w:pPr>
        <w:spacing w:after="0" w:line="1"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future SEC flings. Except as required by applicable law, Enliven undertakes no obligaton to revise or update any forward-looking statement, or to make any other forward-looking statements, whether as a result of new informaton, future events or otherwise.</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This press release contains hyperlinks to informaton that is not deemed to be incorporated by reference into this press release.</w:t>
      </w:r>
    </w:p>
    <w:p>
      <w:pPr>
        <w:spacing w:after="0" w:line="32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Head-to-Head Comparisons</w:t>
      </w:r>
    </w:p>
    <w:p>
      <w:pPr>
        <w:spacing w:after="0" w:line="109" w:lineRule="exact"/>
        <w:rPr>
          <w:sz w:val="20"/>
          <w:szCs w:val="20"/>
          <w:color w:val="auto"/>
        </w:rPr>
      </w:pPr>
    </w:p>
    <w:p>
      <w:pPr>
        <w:ind w:right="380"/>
        <w:spacing w:after="0" w:line="235" w:lineRule="auto"/>
        <w:rPr>
          <w:sz w:val="20"/>
          <w:szCs w:val="20"/>
          <w:color w:val="auto"/>
        </w:rPr>
      </w:pPr>
      <w:r>
        <w:rPr>
          <w:rFonts w:ascii="Calibri" w:cs="Calibri" w:eastAsia="Calibri" w:hAnsi="Calibri"/>
          <w:sz w:val="18"/>
          <w:szCs w:val="18"/>
          <w:color w:val="auto"/>
        </w:rPr>
        <w:t>The Company has not performed any head-to-head trials for ELVN-001. As a result, the data referenced in this press release are derived from diferent clinical trials at diferent points in tme, with diferences in trial design and patent populatons. As a result, conclusions from cross-trial comparisons cannot be made.</w:t>
      </w:r>
    </w:p>
    <w:p>
      <w:pPr>
        <w:spacing w:after="0" w:line="32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Contact:</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Investors</w:t>
      </w:r>
    </w:p>
    <w:p>
      <w:pPr>
        <w:spacing w:after="0" w:line="235" w:lineRule="auto"/>
        <w:rPr>
          <w:sz w:val="20"/>
          <w:szCs w:val="20"/>
          <w:color w:val="auto"/>
        </w:rPr>
      </w:pPr>
      <w:r>
        <w:rPr>
          <w:rFonts w:ascii="Calibri" w:cs="Calibri" w:eastAsia="Calibri" w:hAnsi="Calibri"/>
          <w:sz w:val="18"/>
          <w:szCs w:val="18"/>
          <w:u w:val="single" w:color="auto"/>
          <w:color w:val="auto"/>
        </w:rPr>
        <w:t>ir@enliventherapeutcs.com</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Media</w:t>
      </w:r>
    </w:p>
    <w:p>
      <w:pPr>
        <w:spacing w:after="0" w:line="235" w:lineRule="auto"/>
        <w:rPr>
          <w:sz w:val="20"/>
          <w:szCs w:val="20"/>
          <w:color w:val="auto"/>
        </w:rPr>
      </w:pPr>
      <w:r>
        <w:rPr>
          <w:rFonts w:ascii="Calibri" w:cs="Calibri" w:eastAsia="Calibri" w:hAnsi="Calibri"/>
          <w:sz w:val="18"/>
          <w:szCs w:val="18"/>
          <w:u w:val="single" w:color="auto"/>
          <w:color w:val="auto"/>
        </w:rPr>
        <w:t>media@enliventherapeutcs.com</w:t>
      </w:r>
    </w:p>
    <w:sectPr>
      <w:pgSz w:w="11900" w:h="16838" w:orient="portrait"/>
      <w:cols w:equalWidth="0" w:num="1">
        <w:col w:w="11020"/>
      </w:cols>
      <w:pgMar w:left="440" w:top="1278"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lvl w:ilvl="1">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lvl w:ilvl="1">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lvl w:ilvl="1">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lvl w:ilvl="1">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lvl w:ilvl="1">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lvl w:ilvl="1">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2026-06-11T07:10:53Z</dcterms:created>
  <dcterms:modified xsi:type="dcterms:W3CDTF">2026-06-11T07:10:53Z</dcterms:modified>
</cp:coreProperties>
</file>