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Calibri" w:cs="Calibri" w:eastAsia="Calibri" w:hAnsi="Calibri"/>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1" w:lineRule="exact"/>
        <w:rPr>
          <w:sz w:val="24"/>
          <w:szCs w:val="24"/>
          <w:color w:val="auto"/>
        </w:rPr>
      </w:pPr>
    </w:p>
    <w:p>
      <w:pPr>
        <w:jc w:val="center"/>
        <w:ind w:right="16"/>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14" w:lineRule="exact"/>
        <w:rPr>
          <w:sz w:val="24"/>
          <w:szCs w:val="24"/>
          <w:color w:val="auto"/>
        </w:rPr>
      </w:pPr>
    </w:p>
    <w:p>
      <w:pPr>
        <w:jc w:val="center"/>
        <w:ind w:right="16"/>
        <w:spacing w:after="0"/>
        <w:rPr>
          <w:sz w:val="20"/>
          <w:szCs w:val="20"/>
          <w:color w:val="auto"/>
        </w:rPr>
      </w:pPr>
      <w:r>
        <w:rPr>
          <w:rFonts w:ascii="Calibri" w:cs="Calibri" w:eastAsia="Calibri" w:hAnsi="Calibri"/>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163830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9" w:lineRule="exact"/>
        <w:rPr>
          <w:sz w:val="24"/>
          <w:szCs w:val="24"/>
          <w:color w:val="auto"/>
        </w:rPr>
      </w:pPr>
    </w:p>
    <w:p>
      <w:pPr>
        <w:jc w:val="center"/>
        <w:ind w:right="16"/>
        <w:spacing w:after="0"/>
        <w:rPr>
          <w:sz w:val="20"/>
          <w:szCs w:val="20"/>
          <w:color w:val="auto"/>
        </w:rPr>
      </w:pPr>
      <w:r>
        <w:rPr>
          <w:rFonts w:ascii="Calibri" w:cs="Calibri" w:eastAsia="Calibri" w:hAnsi="Calibri"/>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128905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6" w:lineRule="exact"/>
        <w:rPr>
          <w:sz w:val="24"/>
          <w:szCs w:val="24"/>
          <w:color w:val="auto"/>
        </w:rPr>
      </w:pPr>
    </w:p>
    <w:p>
      <w:pPr>
        <w:jc w:val="center"/>
        <w:ind w:right="16"/>
        <w:spacing w:after="0"/>
        <w:rPr>
          <w:sz w:val="20"/>
          <w:szCs w:val="20"/>
          <w:color w:val="auto"/>
        </w:rPr>
      </w:pPr>
      <w:r>
        <w:rPr>
          <w:rFonts w:ascii="Calibri" w:cs="Calibri" w:eastAsia="Calibri" w:hAnsi="Calibri"/>
          <w:sz w:val="22"/>
          <w:szCs w:val="22"/>
          <w:b w:val="1"/>
          <w:bCs w:val="1"/>
          <w:color w:val="auto"/>
        </w:rPr>
        <w:t>CURRENT REPORT</w:t>
      </w:r>
    </w:p>
    <w:p>
      <w:pPr>
        <w:spacing w:after="0" w:line="1" w:lineRule="exact"/>
        <w:rPr>
          <w:sz w:val="24"/>
          <w:szCs w:val="24"/>
          <w:color w:val="auto"/>
        </w:rPr>
      </w:pPr>
    </w:p>
    <w:p>
      <w:pPr>
        <w:jc w:val="center"/>
        <w:ind w:right="16"/>
        <w:spacing w:after="0"/>
        <w:rPr>
          <w:sz w:val="20"/>
          <w:szCs w:val="20"/>
          <w:color w:val="auto"/>
        </w:rPr>
      </w:pPr>
      <w:r>
        <w:rPr>
          <w:rFonts w:ascii="Calibri" w:cs="Calibri" w:eastAsia="Calibri" w:hAnsi="Calibri"/>
          <w:sz w:val="22"/>
          <w:szCs w:val="22"/>
          <w:b w:val="1"/>
          <w:bCs w:val="1"/>
          <w:color w:val="auto"/>
        </w:rPr>
        <w:t>Pursuant to Secton 13 or 15(d)</w:t>
      </w:r>
    </w:p>
    <w:p>
      <w:pPr>
        <w:spacing w:after="0" w:line="1" w:lineRule="exact"/>
        <w:rPr>
          <w:sz w:val="24"/>
          <w:szCs w:val="24"/>
          <w:color w:val="auto"/>
        </w:rPr>
      </w:pPr>
    </w:p>
    <w:p>
      <w:pPr>
        <w:jc w:val="center"/>
        <w:ind w:right="16"/>
        <w:spacing w:after="0"/>
        <w:rPr>
          <w:sz w:val="20"/>
          <w:szCs w:val="20"/>
          <w:color w:val="auto"/>
        </w:rPr>
      </w:pPr>
      <w:r>
        <w:rPr>
          <w:rFonts w:ascii="Calibri" w:cs="Calibri" w:eastAsia="Calibri" w:hAnsi="Calibri"/>
          <w:sz w:val="22"/>
          <w:szCs w:val="22"/>
          <w:b w:val="1"/>
          <w:bCs w:val="1"/>
          <w:color w:val="auto"/>
        </w:rPr>
        <w:t>of the Securites Exchange Act of 1934</w:t>
      </w:r>
    </w:p>
    <w:p>
      <w:pPr>
        <w:spacing w:after="0" w:line="107" w:lineRule="exact"/>
        <w:rPr>
          <w:sz w:val="24"/>
          <w:szCs w:val="24"/>
          <w:color w:val="auto"/>
        </w:rPr>
      </w:pPr>
    </w:p>
    <w:p>
      <w:pPr>
        <w:jc w:val="center"/>
        <w:ind w:right="16"/>
        <w:spacing w:after="0"/>
        <w:rPr>
          <w:sz w:val="20"/>
          <w:szCs w:val="20"/>
          <w:color w:val="auto"/>
        </w:rPr>
      </w:pPr>
      <w:r>
        <w:rPr>
          <w:rFonts w:ascii="Calibri" w:cs="Calibri" w:eastAsia="Calibri" w:hAnsi="Calibri"/>
          <w:sz w:val="22"/>
          <w:szCs w:val="22"/>
          <w:b w:val="1"/>
          <w:bCs w:val="1"/>
          <w:color w:val="auto"/>
        </w:rPr>
        <w:t>Date of Report (Date of earliest event reported): 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172720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1" w:lineRule="exact"/>
        <w:rPr>
          <w:sz w:val="24"/>
          <w:szCs w:val="24"/>
          <w:color w:val="auto"/>
        </w:rPr>
      </w:pPr>
    </w:p>
    <w:p>
      <w:pPr>
        <w:jc w:val="center"/>
        <w:ind w:right="16"/>
        <w:spacing w:after="0"/>
        <w:rPr>
          <w:sz w:val="20"/>
          <w:szCs w:val="20"/>
          <w:color w:val="auto"/>
        </w:rPr>
      </w:pPr>
      <w:r>
        <w:rPr>
          <w:rFonts w:ascii="Calibri" w:cs="Calibri" w:eastAsia="Calibri" w:hAnsi="Calibri"/>
          <w:sz w:val="43"/>
          <w:szCs w:val="43"/>
          <w:b w:val="1"/>
          <w:bCs w:val="1"/>
          <w:color w:val="auto"/>
        </w:rPr>
        <w:t>Enliven Therapeutcs, Inc.</w:t>
      </w:r>
    </w:p>
    <w:p>
      <w:pPr>
        <w:spacing w:after="0" w:line="27" w:lineRule="exact"/>
        <w:rPr>
          <w:sz w:val="24"/>
          <w:szCs w:val="24"/>
          <w:color w:val="auto"/>
        </w:rPr>
      </w:pPr>
    </w:p>
    <w:p>
      <w:pPr>
        <w:jc w:val="center"/>
        <w:ind w:right="16"/>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160655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tbl>
      <w:tblPr>
        <w:tblLayout w:type="fixed"/>
        <w:tblInd w:w="1084" w:type="dxa"/>
        <w:tblCellMar>
          <w:top w:w="0" w:type="dxa"/>
          <w:left w:w="0" w:type="dxa"/>
          <w:bottom w:w="0" w:type="dxa"/>
          <w:right w:w="0" w:type="dxa"/>
        </w:tblCellMar>
      </w:tblPr>
      <w:tr>
        <w:trPr>
          <w:trHeight w:val="220"/>
        </w:trPr>
        <w:tc>
          <w:tcPr>
            <w:tcW w:w="2860" w:type="dxa"/>
            <w:vAlign w:val="bottom"/>
          </w:tcPr>
          <w:p>
            <w:pPr>
              <w:jc w:val="center"/>
              <w:ind w:right="1202"/>
              <w:spacing w:after="0"/>
              <w:rPr>
                <w:sz w:val="20"/>
                <w:szCs w:val="20"/>
                <w:color w:val="auto"/>
              </w:rPr>
            </w:pPr>
            <w:r>
              <w:rPr>
                <w:rFonts w:ascii="Calibri" w:cs="Calibri" w:eastAsia="Calibri" w:hAnsi="Calibri"/>
                <w:sz w:val="18"/>
                <w:szCs w:val="18"/>
                <w:b w:val="1"/>
                <w:bCs w:val="1"/>
                <w:color w:val="auto"/>
                <w:w w:val="97"/>
              </w:rPr>
              <w:t>Delaware</w:t>
            </w:r>
          </w:p>
        </w:tc>
        <w:tc>
          <w:tcPr>
            <w:tcW w:w="3420" w:type="dxa"/>
            <w:vAlign w:val="bottom"/>
          </w:tcPr>
          <w:p>
            <w:pPr>
              <w:ind w:left="1300"/>
              <w:spacing w:after="0"/>
              <w:rPr>
                <w:sz w:val="20"/>
                <w:szCs w:val="20"/>
                <w:color w:val="auto"/>
              </w:rPr>
            </w:pPr>
            <w:r>
              <w:rPr>
                <w:rFonts w:ascii="Calibri" w:cs="Calibri" w:eastAsia="Calibri" w:hAnsi="Calibri"/>
                <w:sz w:val="18"/>
                <w:szCs w:val="18"/>
                <w:b w:val="1"/>
                <w:bCs w:val="1"/>
                <w:color w:val="auto"/>
              </w:rPr>
              <w:t>001-39247</w:t>
            </w:r>
          </w:p>
        </w:tc>
        <w:tc>
          <w:tcPr>
            <w:tcW w:w="2440" w:type="dxa"/>
            <w:vAlign w:val="bottom"/>
          </w:tcPr>
          <w:p>
            <w:pPr>
              <w:jc w:val="center"/>
              <w:ind w:left="1262"/>
              <w:spacing w:after="0"/>
              <w:rPr>
                <w:sz w:val="20"/>
                <w:szCs w:val="20"/>
                <w:color w:val="auto"/>
              </w:rPr>
            </w:pPr>
            <w:r>
              <w:rPr>
                <w:rFonts w:ascii="Calibri" w:cs="Calibri" w:eastAsia="Calibri" w:hAnsi="Calibri"/>
                <w:sz w:val="18"/>
                <w:szCs w:val="18"/>
                <w:b w:val="1"/>
                <w:bCs w:val="1"/>
                <w:color w:val="auto"/>
                <w:w w:val="98"/>
              </w:rPr>
              <w:t>81-1523849</w:t>
            </w:r>
          </w:p>
        </w:tc>
      </w:tr>
      <w:tr>
        <w:trPr>
          <w:trHeight w:val="179"/>
        </w:trPr>
        <w:tc>
          <w:tcPr>
            <w:tcW w:w="2860" w:type="dxa"/>
            <w:vAlign w:val="bottom"/>
          </w:tcPr>
          <w:p>
            <w:pPr>
              <w:jc w:val="center"/>
              <w:ind w:right="1202"/>
              <w:spacing w:after="0"/>
              <w:rPr>
                <w:sz w:val="20"/>
                <w:szCs w:val="20"/>
                <w:color w:val="auto"/>
              </w:rPr>
            </w:pPr>
            <w:r>
              <w:rPr>
                <w:rFonts w:ascii="Calibri" w:cs="Calibri" w:eastAsia="Calibri" w:hAnsi="Calibri"/>
                <w:sz w:val="14"/>
                <w:szCs w:val="14"/>
                <w:b w:val="1"/>
                <w:bCs w:val="1"/>
                <w:color w:val="auto"/>
              </w:rPr>
              <w:t>(State or other jurisdicton</w:t>
            </w:r>
          </w:p>
        </w:tc>
        <w:tc>
          <w:tcPr>
            <w:tcW w:w="3420" w:type="dxa"/>
            <w:vAlign w:val="bottom"/>
          </w:tcPr>
          <w:p>
            <w:pPr>
              <w:ind w:left="1300"/>
              <w:spacing w:after="0"/>
              <w:rPr>
                <w:sz w:val="20"/>
                <w:szCs w:val="20"/>
                <w:color w:val="auto"/>
              </w:rPr>
            </w:pPr>
            <w:r>
              <w:rPr>
                <w:rFonts w:ascii="Calibri" w:cs="Calibri" w:eastAsia="Calibri" w:hAnsi="Calibri"/>
                <w:sz w:val="14"/>
                <w:szCs w:val="14"/>
                <w:b w:val="1"/>
                <w:bCs w:val="1"/>
                <w:color w:val="auto"/>
              </w:rPr>
              <w:t>(Commission</w:t>
            </w:r>
          </w:p>
        </w:tc>
        <w:tc>
          <w:tcPr>
            <w:tcW w:w="2440" w:type="dxa"/>
            <w:vAlign w:val="bottom"/>
          </w:tcPr>
          <w:p>
            <w:pPr>
              <w:jc w:val="center"/>
              <w:ind w:left="1262"/>
              <w:spacing w:after="0"/>
              <w:rPr>
                <w:sz w:val="20"/>
                <w:szCs w:val="20"/>
                <w:color w:val="auto"/>
              </w:rPr>
            </w:pPr>
            <w:r>
              <w:rPr>
                <w:rFonts w:ascii="Calibri" w:cs="Calibri" w:eastAsia="Calibri" w:hAnsi="Calibri"/>
                <w:sz w:val="14"/>
                <w:szCs w:val="14"/>
                <w:b w:val="1"/>
                <w:bCs w:val="1"/>
                <w:color w:val="auto"/>
              </w:rPr>
              <w:t>(IRS Employer</w:t>
            </w:r>
          </w:p>
        </w:tc>
      </w:tr>
      <w:tr>
        <w:trPr>
          <w:trHeight w:val="176"/>
        </w:trPr>
        <w:tc>
          <w:tcPr>
            <w:tcW w:w="2860" w:type="dxa"/>
            <w:vAlign w:val="bottom"/>
          </w:tcPr>
          <w:p>
            <w:pPr>
              <w:jc w:val="center"/>
              <w:ind w:right="1202"/>
              <w:spacing w:after="0"/>
              <w:rPr>
                <w:sz w:val="20"/>
                <w:szCs w:val="20"/>
                <w:color w:val="auto"/>
              </w:rPr>
            </w:pPr>
            <w:r>
              <w:rPr>
                <w:rFonts w:ascii="Calibri" w:cs="Calibri" w:eastAsia="Calibri" w:hAnsi="Calibri"/>
                <w:sz w:val="14"/>
                <w:szCs w:val="14"/>
                <w:b w:val="1"/>
                <w:bCs w:val="1"/>
                <w:color w:val="auto"/>
              </w:rPr>
              <w:t>of incorporaton)</w:t>
            </w:r>
          </w:p>
        </w:tc>
        <w:tc>
          <w:tcPr>
            <w:tcW w:w="3420" w:type="dxa"/>
            <w:vAlign w:val="bottom"/>
          </w:tcPr>
          <w:p>
            <w:pPr>
              <w:ind w:left="1300"/>
              <w:spacing w:after="0"/>
              <w:rPr>
                <w:sz w:val="20"/>
                <w:szCs w:val="20"/>
                <w:color w:val="auto"/>
              </w:rPr>
            </w:pPr>
            <w:r>
              <w:rPr>
                <w:rFonts w:ascii="Calibri" w:cs="Calibri" w:eastAsia="Calibri" w:hAnsi="Calibri"/>
                <w:sz w:val="14"/>
                <w:szCs w:val="14"/>
                <w:b w:val="1"/>
                <w:bCs w:val="1"/>
                <w:color w:val="auto"/>
              </w:rPr>
              <w:t>File Number)</w:t>
            </w:r>
          </w:p>
        </w:tc>
        <w:tc>
          <w:tcPr>
            <w:tcW w:w="2440" w:type="dxa"/>
            <w:vAlign w:val="bottom"/>
          </w:tcPr>
          <w:p>
            <w:pPr>
              <w:jc w:val="center"/>
              <w:ind w:left="1262"/>
              <w:spacing w:after="0"/>
              <w:rPr>
                <w:sz w:val="20"/>
                <w:szCs w:val="20"/>
                <w:color w:val="auto"/>
              </w:rPr>
            </w:pPr>
            <w:r>
              <w:rPr>
                <w:rFonts w:ascii="Calibri" w:cs="Calibri" w:eastAsia="Calibri" w:hAnsi="Calibri"/>
                <w:sz w:val="14"/>
                <w:szCs w:val="14"/>
                <w:b w:val="1"/>
                <w:bCs w:val="1"/>
                <w:color w:val="auto"/>
              </w:rPr>
              <w:t>Identfcaton No.)</w:t>
            </w:r>
          </w:p>
        </w:tc>
      </w:tr>
    </w:tbl>
    <w:p>
      <w:pPr>
        <w:spacing w:after="0" w:line="128" w:lineRule="exact"/>
        <w:rPr>
          <w:sz w:val="24"/>
          <w:szCs w:val="24"/>
          <w:color w:val="auto"/>
        </w:rPr>
      </w:pPr>
    </w:p>
    <w:p>
      <w:pPr>
        <w:sectPr>
          <w:pgSz w:w="11900" w:h="16838" w:orient="portrait"/>
          <w:cols w:equalWidth="0" w:num="1">
            <w:col w:w="11024"/>
          </w:cols>
          <w:pgMar w:left="436" w:top="450" w:right="439" w:bottom="1440" w:gutter="0" w:footer="0" w:header="0"/>
        </w:sectPr>
      </w:pPr>
    </w:p>
    <w:p>
      <w:pPr>
        <w:ind w:left="2264"/>
        <w:spacing w:after="0"/>
        <w:rPr>
          <w:sz w:val="20"/>
          <w:szCs w:val="20"/>
          <w:color w:val="auto"/>
        </w:rPr>
      </w:pPr>
      <w:r>
        <w:rPr>
          <w:rFonts w:ascii="Calibri" w:cs="Calibri" w:eastAsia="Calibri" w:hAnsi="Calibri"/>
          <w:sz w:val="18"/>
          <w:szCs w:val="18"/>
          <w:b w:val="1"/>
          <w:bCs w:val="1"/>
          <w:color w:val="auto"/>
        </w:rPr>
        <w:t>205 Park Road</w:t>
      </w:r>
    </w:p>
    <w:p>
      <w:pPr>
        <w:spacing w:after="0" w:line="1" w:lineRule="exact"/>
        <w:rPr>
          <w:sz w:val="24"/>
          <w:szCs w:val="24"/>
          <w:color w:val="auto"/>
        </w:rPr>
      </w:pPr>
    </w:p>
    <w:p>
      <w:pPr>
        <w:ind w:left="2224"/>
        <w:spacing w:after="0"/>
        <w:rPr>
          <w:sz w:val="20"/>
          <w:szCs w:val="20"/>
          <w:color w:val="auto"/>
        </w:rPr>
      </w:pPr>
      <w:r>
        <w:rPr>
          <w:rFonts w:ascii="Calibri" w:cs="Calibri" w:eastAsia="Calibri" w:hAnsi="Calibri"/>
          <w:sz w:val="17"/>
          <w:szCs w:val="17"/>
          <w:b w:val="1"/>
          <w:bCs w:val="1"/>
          <w:color w:val="auto"/>
        </w:rPr>
        <w:t>Burlingame, CA</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94010</w:t>
      </w:r>
    </w:p>
    <w:p>
      <w:pPr>
        <w:spacing w:after="0" w:line="16" w:lineRule="exact"/>
        <w:rPr>
          <w:sz w:val="24"/>
          <w:szCs w:val="24"/>
          <w:color w:val="auto"/>
        </w:rPr>
      </w:pPr>
    </w:p>
    <w:p>
      <w:pPr>
        <w:sectPr>
          <w:pgSz w:w="11900" w:h="16838" w:orient="portrait"/>
          <w:cols w:equalWidth="0" w:num="2">
            <w:col w:w="7404" w:space="720"/>
            <w:col w:w="2900"/>
          </w:cols>
          <w:pgMar w:left="436" w:top="450" w:right="439" w:bottom="1440" w:gutter="0" w:footer="0" w:header="0"/>
          <w:type w:val="continuous"/>
        </w:sectPr>
      </w:pPr>
    </w:p>
    <w:p>
      <w:pPr>
        <w:ind w:left="1624"/>
        <w:spacing w:after="0"/>
        <w:rPr>
          <w:sz w:val="20"/>
          <w:szCs w:val="20"/>
          <w:color w:val="auto"/>
        </w:rPr>
      </w:pPr>
      <w:r>
        <w:rPr>
          <w:rFonts w:ascii="Calibri" w:cs="Calibri" w:eastAsia="Calibri" w:hAnsi="Calibri"/>
          <w:sz w:val="14"/>
          <w:szCs w:val="14"/>
          <w:b w:val="1"/>
          <w:bCs w:val="1"/>
          <w:color w:val="auto"/>
        </w:rPr>
        <w:t>(Address of principal executve ofces)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(Zip Code)</w:t>
      </w:r>
    </w:p>
    <w:p>
      <w:pPr>
        <w:spacing w:after="0" w:line="101" w:lineRule="exact"/>
        <w:rPr>
          <w:sz w:val="24"/>
          <w:szCs w:val="24"/>
          <w:color w:val="auto"/>
        </w:rPr>
      </w:pPr>
    </w:p>
    <w:p>
      <w:pPr>
        <w:sectPr>
          <w:pgSz w:w="11900" w:h="16838" w:orient="portrait"/>
          <w:cols w:equalWidth="0" w:num="2">
            <w:col w:w="7324" w:space="720"/>
            <w:col w:w="2980"/>
          </w:cols>
          <w:pgMar w:left="436" w:top="450" w:right="439" w:bottom="1440" w:gutter="0" w:footer="0" w:header="0"/>
          <w:type w:val="continuous"/>
        </w:sectPr>
      </w:pPr>
    </w:p>
    <w:p>
      <w:pPr>
        <w:ind w:left="3104"/>
        <w:spacing w:after="0"/>
        <w:rPr>
          <w:sz w:val="20"/>
          <w:szCs w:val="20"/>
          <w:color w:val="auto"/>
        </w:rPr>
      </w:pPr>
      <w:r>
        <w:rPr>
          <w:rFonts w:ascii="Calibri" w:cs="Calibri" w:eastAsia="Calibri" w:hAnsi="Calibri"/>
          <w:sz w:val="18"/>
          <w:szCs w:val="18"/>
          <w:b w:val="1"/>
          <w:bCs w:val="1"/>
          <w:color w:val="auto"/>
        </w:rPr>
        <w:t>Registrant’s telephone number, including area code: 650-547-5814</w:t>
      </w:r>
    </w:p>
    <w:p>
      <w:pPr>
        <w:spacing w:after="0" w:line="104" w:lineRule="exact"/>
        <w:rPr>
          <w:sz w:val="24"/>
          <w:szCs w:val="24"/>
          <w:color w:val="auto"/>
        </w:rPr>
      </w:pPr>
    </w:p>
    <w:p>
      <w:pPr>
        <w:ind w:left="4804"/>
        <w:spacing w:after="0"/>
        <w:rPr>
          <w:sz w:val="20"/>
          <w:szCs w:val="20"/>
          <w:color w:val="auto"/>
        </w:rPr>
      </w:pPr>
      <w:r>
        <w:rPr>
          <w:rFonts w:ascii="Calibri" w:cs="Calibri" w:eastAsia="Calibri" w:hAnsi="Calibri"/>
          <w:sz w:val="18"/>
          <w:szCs w:val="18"/>
          <w:b w:val="1"/>
          <w:bCs w:val="1"/>
          <w:color w:val="auto"/>
        </w:rPr>
        <w:t>6200 Lookout Road</w:t>
      </w:r>
    </w:p>
    <w:p>
      <w:pPr>
        <w:jc w:val="center"/>
        <w:ind w:right="-3"/>
        <w:spacing w:after="0" w:line="235" w:lineRule="auto"/>
        <w:rPr>
          <w:sz w:val="20"/>
          <w:szCs w:val="20"/>
          <w:color w:val="auto"/>
        </w:rPr>
      </w:pPr>
      <w:r>
        <w:rPr>
          <w:rFonts w:ascii="Calibri" w:cs="Calibri" w:eastAsia="Calibri" w:hAnsi="Calibri"/>
          <w:sz w:val="18"/>
          <w:szCs w:val="18"/>
          <w:b w:val="1"/>
          <w:bCs w:val="1"/>
          <w:color w:val="auto"/>
        </w:rPr>
        <w:t>Boulder, Colorado</w:t>
      </w:r>
    </w:p>
    <w:p>
      <w:pPr>
        <w:jc w:val="center"/>
        <w:ind w:right="-3"/>
        <w:spacing w:after="0" w:line="236" w:lineRule="auto"/>
        <w:rPr>
          <w:sz w:val="20"/>
          <w:szCs w:val="20"/>
          <w:color w:val="auto"/>
        </w:rPr>
      </w:pPr>
      <w:r>
        <w:rPr>
          <w:rFonts w:ascii="Calibri" w:cs="Calibri" w:eastAsia="Calibri" w:hAnsi="Calibri"/>
          <w:sz w:val="18"/>
          <w:szCs w:val="18"/>
          <w:b w:val="1"/>
          <w:bCs w:val="1"/>
          <w:color w:val="auto"/>
        </w:rPr>
        <w:t>80301</w:t>
      </w:r>
    </w:p>
    <w:p>
      <w:pPr>
        <w:spacing w:after="0" w:line="9" w:lineRule="exact"/>
        <w:rPr>
          <w:sz w:val="24"/>
          <w:szCs w:val="24"/>
          <w:color w:val="auto"/>
        </w:rPr>
      </w:pPr>
    </w:p>
    <w:p>
      <w:pPr>
        <w:jc w:val="center"/>
        <w:ind w:right="-3"/>
        <w:spacing w:after="0"/>
        <w:rPr>
          <w:sz w:val="20"/>
          <w:szCs w:val="20"/>
          <w:color w:val="auto"/>
        </w:rPr>
      </w:pPr>
      <w:r>
        <w:rPr>
          <w:rFonts w:ascii="Calibri" w:cs="Calibri" w:eastAsia="Calibri" w:hAnsi="Calibri"/>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158115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 w:right="40"/>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 (</w:t>
      </w:r>
      <w:r>
        <w:rPr>
          <w:rFonts w:ascii="Calibri" w:cs="Calibri" w:eastAsia="Calibri" w:hAnsi="Calibri"/>
          <w:sz w:val="18"/>
          <w:szCs w:val="18"/>
          <w:u w:val="single" w:color="auto"/>
          <w:color w:val="auto"/>
        </w:rPr>
        <w:t>see</w:t>
      </w:r>
      <w:r>
        <w:rPr>
          <w:rFonts w:ascii="Calibri" w:cs="Calibri" w:eastAsia="Calibri" w:hAnsi="Calibri"/>
          <w:sz w:val="18"/>
          <w:szCs w:val="18"/>
          <w:color w:val="auto"/>
        </w:rPr>
        <w:t xml:space="preserve"> General Instructon A.2. below):</w:t>
      </w:r>
    </w:p>
    <w:p>
      <w:pPr>
        <w:spacing w:after="0" w:line="78"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7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7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7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w:t>
      </w:r>
    </w:p>
    <w:p>
      <w:pPr>
        <w:spacing w:after="0" w:line="104" w:lineRule="exact"/>
        <w:rPr>
          <w:rFonts w:ascii="MS PGothic" w:cs="MS PGothic" w:eastAsia="MS PGothic" w:hAnsi="MS PGothic"/>
          <w:sz w:val="18"/>
          <w:szCs w:val="18"/>
          <w:color w:val="auto"/>
        </w:rPr>
      </w:pPr>
    </w:p>
    <w:p>
      <w:pPr>
        <w:ind w:left="3424"/>
        <w:spacing w:after="0"/>
        <w:rPr>
          <w:rFonts w:ascii="MS PGothic" w:cs="MS PGothic" w:eastAsia="MS PGothic" w:hAnsi="MS PGothic"/>
          <w:sz w:val="18"/>
          <w:szCs w:val="18"/>
          <w:color w:val="auto"/>
        </w:rPr>
      </w:pPr>
      <w:r>
        <w:rPr>
          <w:rFonts w:ascii="Calibri" w:cs="Calibri" w:eastAsia="Calibri" w:hAnsi="Calibri"/>
          <w:sz w:val="18"/>
          <w:szCs w:val="18"/>
          <w:b w:val="1"/>
          <w:bCs w:val="1"/>
          <w:color w:val="auto"/>
        </w:rPr>
        <w:t>Securites registered pursuant to Secton 12(b) of the Act:</w:t>
      </w:r>
    </w:p>
    <w:p>
      <w:pPr>
        <w:spacing w:after="0" w:line="130" w:lineRule="exact"/>
        <w:rPr>
          <w:sz w:val="24"/>
          <w:szCs w:val="24"/>
          <w:color w:val="auto"/>
        </w:rPr>
      </w:pPr>
    </w:p>
    <w:tbl>
      <w:tblPr>
        <w:tblLayout w:type="fixed"/>
        <w:tblInd w:w="4"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Trading</w:t>
            </w:r>
          </w:p>
        </w:tc>
        <w:tc>
          <w:tcPr>
            <w:tcW w:w="3540" w:type="dxa"/>
            <w:vAlign w:val="bottom"/>
          </w:tcPr>
          <w:p>
            <w:pPr>
              <w:jc w:val="center"/>
              <w:spacing w:after="0"/>
              <w:rPr>
                <w:sz w:val="20"/>
                <w:szCs w:val="20"/>
                <w:color w:val="auto"/>
              </w:rPr>
            </w:pPr>
            <w:r>
              <w:rPr>
                <w:rFonts w:ascii="Calibri" w:cs="Calibri" w:eastAsia="Calibri" w:hAnsi="Calibri"/>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3860" w:type="dxa"/>
            <w:vAlign w:val="bottom"/>
            <w:gridSpan w:val="2"/>
          </w:tcPr>
          <w:p>
            <w:pPr>
              <w:jc w:val="center"/>
              <w:ind w:right="140"/>
              <w:spacing w:after="0"/>
              <w:rPr>
                <w:sz w:val="20"/>
                <w:szCs w:val="20"/>
                <w:color w:val="auto"/>
              </w:rPr>
            </w:pPr>
            <w:r>
              <w:rPr>
                <w:rFonts w:ascii="Calibri" w:cs="Calibri" w:eastAsia="Calibri" w:hAnsi="Calibri"/>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Symbol(s)</w:t>
            </w:r>
          </w:p>
        </w:tc>
        <w:tc>
          <w:tcPr>
            <w:tcW w:w="3540" w:type="dxa"/>
            <w:vAlign w:val="bottom"/>
          </w:tcPr>
          <w:p>
            <w:pPr>
              <w:jc w:val="center"/>
              <w:spacing w:after="0"/>
              <w:rPr>
                <w:sz w:val="20"/>
                <w:szCs w:val="20"/>
                <w:color w:val="auto"/>
              </w:rPr>
            </w:pPr>
            <w:r>
              <w:rPr>
                <w:rFonts w:ascii="Calibri" w:cs="Calibri" w:eastAsia="Calibri" w:hAnsi="Calibri"/>
                <w:sz w:val="14"/>
                <w:szCs w:val="14"/>
                <w:b w:val="1"/>
                <w:bCs w:val="1"/>
                <w:color w:val="auto"/>
              </w:rPr>
              <w:t>on which registered</w:t>
            </w:r>
          </w:p>
        </w:tc>
        <w:tc>
          <w:tcPr>
            <w:tcW w:w="0" w:type="dxa"/>
            <w:vAlign w:val="bottom"/>
          </w:tcPr>
          <w:p>
            <w:pPr>
              <w:spacing w:after="0"/>
              <w:rPr>
                <w:sz w:val="1"/>
                <w:szCs w:val="1"/>
                <w:color w:val="auto"/>
              </w:rPr>
            </w:pPr>
          </w:p>
        </w:tc>
      </w:tr>
      <w:tr>
        <w:trPr>
          <w:trHeight w:val="33"/>
        </w:trPr>
        <w:tc>
          <w:tcPr>
            <w:tcW w:w="37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40" w:type="dxa"/>
            <w:vAlign w:val="bottom"/>
          </w:tcPr>
          <w:p>
            <w:pPr>
              <w:jc w:val="center"/>
              <w:spacing w:after="0" w:line="208" w:lineRule="exact"/>
              <w:rPr>
                <w:sz w:val="20"/>
                <w:szCs w:val="20"/>
                <w:color w:val="auto"/>
              </w:rPr>
            </w:pPr>
            <w:r>
              <w:rPr>
                <w:rFonts w:ascii="Calibri" w:cs="Calibri" w:eastAsia="Calibri" w:hAnsi="Calibri"/>
                <w:sz w:val="18"/>
                <w:szCs w:val="18"/>
                <w:color w:val="auto"/>
                <w:w w:val="97"/>
              </w:rPr>
              <w:t>Common Stock, par value $0.001 per share</w:t>
            </w:r>
          </w:p>
        </w:tc>
        <w:tc>
          <w:tcPr>
            <w:tcW w:w="120" w:type="dxa"/>
            <w:vAlign w:val="bottom"/>
            <w:vMerge w:val="continue"/>
          </w:tcPr>
          <w:p>
            <w:pPr>
              <w:spacing w:after="0"/>
              <w:rPr>
                <w:sz w:val="18"/>
                <w:szCs w:val="18"/>
                <w:color w:val="auto"/>
              </w:rPr>
            </w:pPr>
          </w:p>
        </w:tc>
        <w:tc>
          <w:tcPr>
            <w:tcW w:w="3520" w:type="dxa"/>
            <w:vAlign w:val="bottom"/>
          </w:tcPr>
          <w:p>
            <w:pPr>
              <w:jc w:val="center"/>
              <w:spacing w:after="0" w:line="208" w:lineRule="exact"/>
              <w:rPr>
                <w:sz w:val="20"/>
                <w:szCs w:val="20"/>
                <w:color w:val="auto"/>
              </w:rPr>
            </w:pPr>
            <w:r>
              <w:rPr>
                <w:rFonts w:ascii="Calibri" w:cs="Calibri" w:eastAsia="Calibri" w:hAnsi="Calibri"/>
                <w:sz w:val="18"/>
                <w:szCs w:val="18"/>
                <w:color w:val="auto"/>
                <w:w w:val="94"/>
              </w:rPr>
              <w:t>ELVN</w:t>
            </w:r>
          </w:p>
        </w:tc>
        <w:tc>
          <w:tcPr>
            <w:tcW w:w="100" w:type="dxa"/>
            <w:vAlign w:val="bottom"/>
            <w:vMerge w:val="continue"/>
          </w:tcPr>
          <w:p>
            <w:pPr>
              <w:spacing w:after="0"/>
              <w:rPr>
                <w:sz w:val="18"/>
                <w:szCs w:val="18"/>
                <w:color w:val="auto"/>
              </w:rPr>
            </w:pPr>
          </w:p>
        </w:tc>
        <w:tc>
          <w:tcPr>
            <w:tcW w:w="3540" w:type="dxa"/>
            <w:vAlign w:val="bottom"/>
          </w:tcPr>
          <w:p>
            <w:pPr>
              <w:jc w:val="center"/>
              <w:spacing w:after="0" w:line="208" w:lineRule="exact"/>
              <w:rPr>
                <w:sz w:val="20"/>
                <w:szCs w:val="20"/>
                <w:color w:val="auto"/>
              </w:rPr>
            </w:pPr>
            <w:r>
              <w:rPr>
                <w:rFonts w:ascii="Calibri" w:cs="Calibri" w:eastAsia="Calibri" w:hAnsi="Calibri"/>
                <w:sz w:val="18"/>
                <w:szCs w:val="18"/>
                <w:color w:val="auto"/>
                <w:w w:val="97"/>
              </w:rPr>
              <w:t>The Nasdaq Global Select Market</w:t>
            </w: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 w:right="50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of 1933 (§ 230.405 of this chapter) or Rule 12b-2 of the Securites Exchange Act of 1934 (§ 240.12b-2 of this chapter).</w:t>
      </w:r>
    </w:p>
    <w:p>
      <w:pPr>
        <w:spacing w:after="0" w:line="73" w:lineRule="exact"/>
        <w:rPr>
          <w:sz w:val="24"/>
          <w:szCs w:val="24"/>
          <w:color w:val="auto"/>
        </w:rPr>
      </w:pPr>
    </w:p>
    <w:p>
      <w:pPr>
        <w:ind w:left="4"/>
        <w:spacing w:after="0" w:line="220" w:lineRule="exact"/>
        <w:rPr>
          <w:sz w:val="20"/>
          <w:szCs w:val="20"/>
          <w:color w:val="auto"/>
        </w:rPr>
      </w:pPr>
      <w:r>
        <w:rPr>
          <w:rFonts w:ascii="Calibri" w:cs="Calibri" w:eastAsia="Calibri" w:hAnsi="Calibri"/>
          <w:sz w:val="18"/>
          <w:szCs w:val="18"/>
          <w:color w:val="auto"/>
        </w:rPr>
        <w:t xml:space="preserve">Emerging growth company  </w:t>
      </w:r>
      <w:r>
        <w:rPr>
          <w:rFonts w:ascii="MS PGothic" w:cs="MS PGothic" w:eastAsia="MS PGothic" w:hAnsi="MS PGothic"/>
          <w:sz w:val="18"/>
          <w:szCs w:val="18"/>
          <w:color w:val="auto"/>
        </w:rPr>
        <w:t>☐</w:t>
      </w:r>
    </w:p>
    <w:p>
      <w:pPr>
        <w:spacing w:after="0" w:line="154" w:lineRule="exact"/>
        <w:rPr>
          <w:sz w:val="24"/>
          <w:szCs w:val="24"/>
          <w:color w:val="auto"/>
        </w:rPr>
      </w:pPr>
    </w:p>
    <w:p>
      <w:pPr>
        <w:ind w:left="4" w:right="80"/>
        <w:spacing w:after="0" w:line="241"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50"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Calibri" w:cs="Calibri" w:eastAsia="Calibri" w:hAnsi="Calibri"/>
          <w:sz w:val="18"/>
          <w:szCs w:val="18"/>
          <w:b w:val="1"/>
          <w:bCs w:val="1"/>
          <w:color w:val="auto"/>
        </w:rPr>
        <w:t>Amendments to Artcles of Incorporaton or Bylaws; Change in Fiscal Year.</w:t>
      </w:r>
    </w:p>
    <w:p>
      <w:pPr>
        <w:spacing w:after="0" w:line="109"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Enliven Therapeutcs, Inc. (the “Company”) held its Annual Meetng of Stockholders (the “Annual Meetng”) on June 9, 2026. On June 9, 2026, following stockholder approval, the Company fled a Certfcate of Amendment to its Amended and Restated Certfcate of Incorporaton, as amended (the “Certfcate of Amendment”), to increase the number of authorized shares of common stock from 100,000,000 to 200,000,000, which amendment was efectve as of the date of fling. Specifcally, the Certfcate of Amendment amended the frst three paragraphs of Artcle FOURTH of the Amended and Restated Certfcate of Incorporaton, as amended, to read as follows: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auto"/>
        </w:rPr>
        <w:t>“FOURTH: The total number of shares of all classes of stock which the Corporaton shall have authority to issue is 210,000,000 shares, consistng of</w:t>
      </w:r>
    </w:p>
    <w:p>
      <w:pPr>
        <w:spacing w:after="0" w:line="118" w:lineRule="exact"/>
        <w:rPr>
          <w:sz w:val="20"/>
          <w:szCs w:val="20"/>
          <w:color w:val="auto"/>
        </w:rPr>
      </w:pPr>
    </w:p>
    <w:p>
      <w:pPr>
        <w:ind w:left="960" w:hanging="532"/>
        <w:spacing w:after="0"/>
        <w:tabs>
          <w:tab w:leader="none" w:pos="9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200,000,000 shares of Common Stock, $0.001 par value per share (“Common Stock”) and</w:t>
      </w:r>
    </w:p>
    <w:p>
      <w:pPr>
        <w:spacing w:after="0" w:line="117" w:lineRule="exact"/>
        <w:rPr>
          <w:rFonts w:ascii="Calibri" w:cs="Calibri" w:eastAsia="Calibri" w:hAnsi="Calibri"/>
          <w:sz w:val="18"/>
          <w:szCs w:val="18"/>
          <w:color w:val="auto"/>
        </w:rPr>
      </w:pPr>
    </w:p>
    <w:p>
      <w:pPr>
        <w:ind w:left="960" w:hanging="532"/>
        <w:spacing w:after="0"/>
        <w:tabs>
          <w:tab w:leader="none" w:pos="9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10,000,000 shares of Preferred Stock, $0.001 par value per share (“Preferred Stock”).”</w:t>
      </w:r>
    </w:p>
    <w:p>
      <w:pPr>
        <w:spacing w:after="0" w:line="217" w:lineRule="exact"/>
        <w:rPr>
          <w:sz w:val="20"/>
          <w:szCs w:val="20"/>
          <w:color w:val="auto"/>
        </w:rPr>
      </w:pPr>
    </w:p>
    <w:p>
      <w:pPr>
        <w:ind w:right="740"/>
        <w:spacing w:after="0" w:line="235" w:lineRule="auto"/>
        <w:rPr>
          <w:sz w:val="20"/>
          <w:szCs w:val="20"/>
          <w:color w:val="auto"/>
        </w:rPr>
      </w:pPr>
      <w:r>
        <w:rPr>
          <w:rFonts w:ascii="Calibri" w:cs="Calibri" w:eastAsia="Calibri" w:hAnsi="Calibri"/>
          <w:sz w:val="18"/>
          <w:szCs w:val="18"/>
          <w:color w:val="auto"/>
        </w:rPr>
        <w:t>The summary above is wholly qualifed by the complete text of the Certfcate of Amendment, a copy of which is fled as Exhibit 3.1 hereto and is incorporated herein by reference.</w:t>
      </w:r>
    </w:p>
    <w:p>
      <w:pPr>
        <w:spacing w:after="0" w:line="361" w:lineRule="exact"/>
        <w:rPr>
          <w:sz w:val="20"/>
          <w:szCs w:val="20"/>
          <w:color w:val="auto"/>
        </w:rPr>
      </w:pPr>
    </w:p>
    <w:p>
      <w:pPr>
        <w:spacing w:after="0"/>
        <w:tabs>
          <w:tab w:leader="none" w:pos="1180" w:val="left"/>
        </w:tabs>
        <w:rPr>
          <w:sz w:val="20"/>
          <w:szCs w:val="20"/>
          <w:color w:val="auto"/>
        </w:rPr>
      </w:pPr>
      <w:r>
        <w:rPr>
          <w:rFonts w:ascii="Calibri" w:cs="Calibri" w:eastAsia="Calibri" w:hAnsi="Calibri"/>
          <w:sz w:val="18"/>
          <w:szCs w:val="18"/>
          <w:b w:val="1"/>
          <w:bCs w:val="1"/>
          <w:color w:val="auto"/>
        </w:rPr>
        <w:t>Item 5.07</w:t>
      </w:r>
      <w:r>
        <w:rPr>
          <w:sz w:val="20"/>
          <w:szCs w:val="20"/>
          <w:color w:val="auto"/>
        </w:rPr>
        <w:tab/>
      </w:r>
      <w:r>
        <w:rPr>
          <w:rFonts w:ascii="Calibri" w:cs="Calibri" w:eastAsia="Calibri" w:hAnsi="Calibri"/>
          <w:sz w:val="18"/>
          <w:szCs w:val="18"/>
          <w:b w:val="1"/>
          <w:bCs w:val="1"/>
          <w:color w:val="auto"/>
        </w:rPr>
        <w:t>Submission of Maters to a Vote of Security Holders.</w:t>
      </w:r>
    </w:p>
    <w:p>
      <w:pPr>
        <w:spacing w:after="0" w:line="10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informaton set forth in Item 5.03 above is incorporated by reference herein. The maters voted upon at the Annual Meetng and the votng results for each proposal are set forth below.</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Proposal 1: Electon of Two Class III Directors</w:t>
      </w:r>
    </w:p>
    <w:p>
      <w:pPr>
        <w:spacing w:after="0" w:line="251" w:lineRule="exact"/>
        <w:rPr>
          <w:sz w:val="20"/>
          <w:szCs w:val="20"/>
          <w:color w:val="auto"/>
        </w:rPr>
      </w:pPr>
    </w:p>
    <w:tbl>
      <w:tblPr>
        <w:tblLayout w:type="fixed"/>
        <w:tblInd w:w="880" w:type="dxa"/>
        <w:tblCellMar>
          <w:top w:w="0" w:type="dxa"/>
          <w:left w:w="0" w:type="dxa"/>
          <w:bottom w:w="0" w:type="dxa"/>
          <w:right w:w="0" w:type="dxa"/>
        </w:tblCellMar>
      </w:tblPr>
      <w:tr>
        <w:trPr>
          <w:trHeight w:val="208"/>
        </w:trPr>
        <w:tc>
          <w:tcPr>
            <w:tcW w:w="5600" w:type="dxa"/>
            <w:vAlign w:val="bottom"/>
            <w:tcBorders>
              <w:bottom w:val="single" w:sz="8" w:color="auto"/>
            </w:tcBorders>
          </w:tcPr>
          <w:p>
            <w:pPr>
              <w:spacing w:after="0"/>
              <w:rPr>
                <w:sz w:val="20"/>
                <w:szCs w:val="20"/>
                <w:color w:val="auto"/>
              </w:rPr>
            </w:pPr>
            <w:r>
              <w:rPr>
                <w:rFonts w:ascii="Calibri" w:cs="Calibri" w:eastAsia="Calibri" w:hAnsi="Calibri"/>
                <w:sz w:val="14"/>
                <w:szCs w:val="14"/>
                <w:b w:val="1"/>
                <w:bCs w:val="1"/>
                <w:color w:val="auto"/>
              </w:rPr>
              <w:t>Name of Director</w:t>
            </w:r>
          </w:p>
        </w:tc>
        <w:tc>
          <w:tcPr>
            <w:tcW w:w="26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Calibri" w:cs="Calibri" w:eastAsia="Calibri" w:hAnsi="Calibri"/>
                <w:sz w:val="14"/>
                <w:szCs w:val="14"/>
                <w:b w:val="1"/>
                <w:bCs w:val="1"/>
                <w:color w:val="auto"/>
              </w:rPr>
              <w:t>For</w:t>
            </w:r>
          </w:p>
        </w:tc>
        <w:tc>
          <w:tcPr>
            <w:tcW w:w="860" w:type="dxa"/>
            <w:vAlign w:val="bottom"/>
          </w:tcPr>
          <w:p>
            <w:pPr>
              <w:jc w:val="right"/>
              <w:ind w:right="76"/>
              <w:spacing w:after="0"/>
              <w:rPr>
                <w:sz w:val="20"/>
                <w:szCs w:val="20"/>
                <w:color w:val="auto"/>
              </w:rPr>
            </w:pPr>
            <w:r>
              <w:rPr>
                <w:rFonts w:ascii="Calibri" w:cs="Calibri" w:eastAsia="Calibri" w:hAnsi="Calibri"/>
                <w:sz w:val="14"/>
                <w:szCs w:val="14"/>
                <w:b w:val="1"/>
                <w:bCs w:val="1"/>
                <w:color w:val="auto"/>
              </w:rPr>
              <w:t>Withheld</w:t>
            </w:r>
          </w:p>
        </w:tc>
        <w:tc>
          <w:tcPr>
            <w:tcW w:w="1400" w:type="dxa"/>
            <w:vAlign w:val="bottom"/>
            <w:gridSpan w:val="3"/>
          </w:tcPr>
          <w:p>
            <w:pPr>
              <w:ind w:left="280"/>
              <w:spacing w:after="0"/>
              <w:rPr>
                <w:sz w:val="20"/>
                <w:szCs w:val="20"/>
                <w:color w:val="auto"/>
              </w:rPr>
            </w:pPr>
            <w:r>
              <w:rPr>
                <w:rFonts w:ascii="Calibri" w:cs="Calibri" w:eastAsia="Calibri" w:hAnsi="Calibri"/>
                <w:sz w:val="14"/>
                <w:szCs w:val="14"/>
                <w:b w:val="1"/>
                <w:bCs w:val="1"/>
                <w:color w:val="auto"/>
              </w:rPr>
              <w:t>Broker Non-Votes</w:t>
            </w:r>
          </w:p>
        </w:tc>
      </w:tr>
      <w:tr>
        <w:trPr>
          <w:trHeight w:val="206"/>
        </w:trPr>
        <w:tc>
          <w:tcPr>
            <w:tcW w:w="5600" w:type="dxa"/>
            <w:vAlign w:val="bottom"/>
            <w:tcBorders>
              <w:top w:val="single" w:sz="8" w:color="CCEEFF"/>
            </w:tcBorders>
            <w:shd w:val="clear" w:color="auto" w:fill="CCEEFF"/>
          </w:tcPr>
          <w:p>
            <w:pPr>
              <w:spacing w:after="0" w:line="195" w:lineRule="exact"/>
              <w:rPr>
                <w:sz w:val="20"/>
                <w:szCs w:val="20"/>
                <w:color w:val="auto"/>
              </w:rPr>
            </w:pPr>
            <w:r>
              <w:rPr>
                <w:rFonts w:ascii="Calibri" w:cs="Calibri" w:eastAsia="Calibri" w:hAnsi="Calibri"/>
                <w:sz w:val="18"/>
                <w:szCs w:val="18"/>
                <w:color w:val="auto"/>
              </w:rPr>
              <w:t>Richard Fair, M.B.A.</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6" w:lineRule="exact"/>
              <w:rPr>
                <w:sz w:val="20"/>
                <w:szCs w:val="20"/>
                <w:color w:val="auto"/>
              </w:rPr>
            </w:pPr>
            <w:r>
              <w:rPr>
                <w:rFonts w:ascii="Calibri" w:cs="Calibri" w:eastAsia="Calibri" w:hAnsi="Calibri"/>
                <w:sz w:val="18"/>
                <w:szCs w:val="18"/>
                <w:color w:val="auto"/>
                <w:w w:val="99"/>
              </w:rPr>
              <w:t>50,534,439</w:t>
            </w:r>
          </w:p>
        </w:tc>
        <w:tc>
          <w:tcPr>
            <w:tcW w:w="3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6" w:lineRule="exact"/>
              <w:rPr>
                <w:sz w:val="20"/>
                <w:szCs w:val="20"/>
                <w:color w:val="auto"/>
              </w:rPr>
            </w:pPr>
            <w:r>
              <w:rPr>
                <w:rFonts w:ascii="Calibri" w:cs="Calibri" w:eastAsia="Calibri" w:hAnsi="Calibri"/>
                <w:sz w:val="18"/>
                <w:szCs w:val="18"/>
                <w:color w:val="auto"/>
              </w:rPr>
              <w:t>152,188</w:t>
            </w:r>
          </w:p>
        </w:tc>
        <w:tc>
          <w:tcPr>
            <w:tcW w:w="2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6" w:lineRule="exact"/>
              <w:rPr>
                <w:sz w:val="20"/>
                <w:szCs w:val="20"/>
                <w:color w:val="auto"/>
              </w:rPr>
            </w:pPr>
            <w:r>
              <w:rPr>
                <w:rFonts w:ascii="Calibri" w:cs="Calibri" w:eastAsia="Calibri" w:hAnsi="Calibri"/>
                <w:sz w:val="18"/>
                <w:szCs w:val="18"/>
                <w:color w:val="auto"/>
              </w:rPr>
              <w:t>5,452,158</w:t>
            </w:r>
          </w:p>
        </w:tc>
        <w:tc>
          <w:tcPr>
            <w:tcW w:w="40" w:type="dxa"/>
            <w:vAlign w:val="bottom"/>
            <w:tcBorders>
              <w:top w:val="single" w:sz="8" w:color="CCEEFF"/>
            </w:tcBorders>
            <w:shd w:val="clear" w:color="auto" w:fill="CCEEFF"/>
          </w:tcPr>
          <w:p>
            <w:pPr>
              <w:spacing w:after="0"/>
              <w:rPr>
                <w:sz w:val="17"/>
                <w:szCs w:val="17"/>
                <w:color w:val="auto"/>
              </w:rPr>
            </w:pPr>
          </w:p>
        </w:tc>
      </w:tr>
      <w:tr>
        <w:trPr>
          <w:trHeight w:val="215"/>
        </w:trPr>
        <w:tc>
          <w:tcPr>
            <w:tcW w:w="5600" w:type="dxa"/>
            <w:vAlign w:val="bottom"/>
          </w:tcPr>
          <w:p>
            <w:pPr>
              <w:spacing w:after="0" w:line="215" w:lineRule="exact"/>
              <w:rPr>
                <w:sz w:val="20"/>
                <w:szCs w:val="20"/>
                <w:color w:val="auto"/>
              </w:rPr>
            </w:pPr>
            <w:r>
              <w:rPr>
                <w:rFonts w:ascii="Calibri" w:cs="Calibri" w:eastAsia="Calibri" w:hAnsi="Calibri"/>
                <w:sz w:val="18"/>
                <w:szCs w:val="18"/>
                <w:color w:val="auto"/>
              </w:rPr>
              <w:t>Lori Kunkel, M.D.</w:t>
            </w:r>
          </w:p>
        </w:tc>
        <w:tc>
          <w:tcPr>
            <w:tcW w:w="11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32,788,330</w:t>
            </w:r>
          </w:p>
        </w:tc>
        <w:tc>
          <w:tcPr>
            <w:tcW w:w="30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w w:val="99"/>
              </w:rPr>
              <w:t>17,898,297</w:t>
            </w:r>
          </w:p>
        </w:tc>
        <w:tc>
          <w:tcPr>
            <w:tcW w:w="1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5,452,158</w:t>
            </w:r>
          </w:p>
        </w:tc>
        <w:tc>
          <w:tcPr>
            <w:tcW w:w="40" w:type="dxa"/>
            <w:vAlign w:val="bottom"/>
          </w:tcPr>
          <w:p>
            <w:pPr>
              <w:spacing w:after="0"/>
              <w:rPr>
                <w:sz w:val="18"/>
                <w:szCs w:val="18"/>
                <w:color w:val="auto"/>
              </w:rPr>
            </w:pPr>
          </w:p>
        </w:tc>
      </w:tr>
    </w:tbl>
    <w:p>
      <w:pPr>
        <w:spacing w:after="0" w:line="8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Each director nominee was duly elected to serve untl the 2029 annual meetng of stockholders or untl their successor is duly elected and qualifed or untl their earlier death, resignaton or removal.</w:t>
      </w:r>
    </w:p>
    <w:p>
      <w:pPr>
        <w:sectPr>
          <w:pgSz w:w="11900" w:h="16838" w:orient="portrait"/>
          <w:cols w:equalWidth="0" w:num="1">
            <w:col w:w="11000"/>
          </w:cols>
          <w:pgMar w:left="440" w:top="288" w:right="459" w:bottom="1440" w:gutter="0" w:footer="0" w:header="0"/>
        </w:sectPr>
      </w:pPr>
    </w:p>
    <w:bookmarkStart w:id="2" w:name="page3"/>
    <w:bookmarkEnd w:id="2"/>
    <w:p>
      <w:pPr>
        <w:spacing w:after="0"/>
        <w:rPr>
          <w:sz w:val="20"/>
          <w:szCs w:val="20"/>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2: Ratfcaton of the Appointment of Independent Registered Public Accountng Firm</w:t>
      </w:r>
    </w:p>
    <w:p>
      <w:pPr>
        <w:spacing w:after="0" w:line="25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060" w:type="dxa"/>
            <w:vAlign w:val="bottom"/>
            <w:gridSpan w:val="2"/>
          </w:tcPr>
          <w:p>
            <w:pPr>
              <w:jc w:val="center"/>
              <w:ind w:right="140"/>
              <w:spacing w:after="0"/>
              <w:rPr>
                <w:sz w:val="20"/>
                <w:szCs w:val="20"/>
                <w:color w:val="auto"/>
              </w:rPr>
            </w:pPr>
            <w:r>
              <w:rPr>
                <w:rFonts w:ascii="Calibri" w:cs="Calibri" w:eastAsia="Calibri" w:hAnsi="Calibri"/>
                <w:sz w:val="14"/>
                <w:szCs w:val="14"/>
                <w:b w:val="1"/>
                <w:bCs w:val="1"/>
                <w:color w:val="auto"/>
              </w:rPr>
              <w:t>For</w:t>
            </w:r>
          </w:p>
        </w:tc>
        <w:tc>
          <w:tcPr>
            <w:tcW w:w="2040" w:type="dxa"/>
            <w:vAlign w:val="bottom"/>
            <w:gridSpan w:val="2"/>
          </w:tcPr>
          <w:p>
            <w:pPr>
              <w:jc w:val="center"/>
              <w:ind w:right="80"/>
              <w:spacing w:after="0"/>
              <w:rPr>
                <w:sz w:val="20"/>
                <w:szCs w:val="20"/>
                <w:color w:val="auto"/>
              </w:rPr>
            </w:pPr>
            <w:r>
              <w:rPr>
                <w:rFonts w:ascii="Calibri" w:cs="Calibri" w:eastAsia="Calibri" w:hAnsi="Calibri"/>
                <w:sz w:val="14"/>
                <w:szCs w:val="14"/>
                <w:b w:val="1"/>
                <w:bCs w:val="1"/>
                <w:color w:val="auto"/>
              </w:rPr>
              <w:t>Against</w:t>
            </w:r>
          </w:p>
        </w:tc>
        <w:tc>
          <w:tcPr>
            <w:tcW w:w="2100" w:type="dxa"/>
            <w:vAlign w:val="bottom"/>
            <w:gridSpan w:val="2"/>
          </w:tcPr>
          <w:p>
            <w:pPr>
              <w:ind w:left="780"/>
              <w:spacing w:after="0"/>
              <w:rPr>
                <w:sz w:val="20"/>
                <w:szCs w:val="20"/>
                <w:color w:val="auto"/>
              </w:rPr>
            </w:pPr>
            <w:r>
              <w:rPr>
                <w:rFonts w:ascii="Calibri" w:cs="Calibri" w:eastAsia="Calibri" w:hAnsi="Calibri"/>
                <w:sz w:val="14"/>
                <w:szCs w:val="14"/>
                <w:b w:val="1"/>
                <w:bCs w:val="1"/>
                <w:color w:val="auto"/>
              </w:rPr>
              <w:t>Abstain</w:t>
            </w:r>
          </w:p>
        </w:tc>
        <w:tc>
          <w:tcPr>
            <w:tcW w:w="1940" w:type="dxa"/>
            <w:vAlign w:val="bottom"/>
          </w:tcPr>
          <w:p>
            <w:pPr>
              <w:jc w:val="center"/>
              <w:spacing w:after="0"/>
              <w:rPr>
                <w:sz w:val="20"/>
                <w:szCs w:val="20"/>
                <w:color w:val="auto"/>
              </w:rPr>
            </w:pPr>
            <w:r>
              <w:rPr>
                <w:rFonts w:ascii="Calibri" w:cs="Calibri" w:eastAsia="Calibri" w:hAnsi="Calibri"/>
                <w:sz w:val="14"/>
                <w:szCs w:val="14"/>
                <w:b w:val="1"/>
                <w:bCs w:val="1"/>
                <w:color w:val="auto"/>
              </w:rPr>
              <w:t>Broker Non-Votes</w:t>
            </w:r>
          </w:p>
        </w:tc>
      </w:tr>
      <w:tr>
        <w:trPr>
          <w:trHeight w:val="33"/>
        </w:trPr>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9"/>
        </w:trPr>
        <w:tc>
          <w:tcPr>
            <w:tcW w:w="1940" w:type="dxa"/>
            <w:vAlign w:val="bottom"/>
            <w:shd w:val="clear" w:color="auto" w:fill="CCEEFF"/>
          </w:tcPr>
          <w:p>
            <w:pPr>
              <w:jc w:val="right"/>
              <w:ind w:right="499"/>
              <w:spacing w:after="0" w:line="209" w:lineRule="exact"/>
              <w:rPr>
                <w:sz w:val="20"/>
                <w:szCs w:val="20"/>
                <w:color w:val="auto"/>
              </w:rPr>
            </w:pPr>
            <w:r>
              <w:rPr>
                <w:rFonts w:ascii="Calibri" w:cs="Calibri" w:eastAsia="Calibri" w:hAnsi="Calibri"/>
                <w:sz w:val="18"/>
                <w:szCs w:val="18"/>
                <w:color w:val="auto"/>
              </w:rPr>
              <w:t>56,119,493</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759"/>
              <w:spacing w:after="0" w:line="209" w:lineRule="exact"/>
              <w:rPr>
                <w:sz w:val="20"/>
                <w:szCs w:val="20"/>
                <w:color w:val="auto"/>
              </w:rPr>
            </w:pPr>
            <w:r>
              <w:rPr>
                <w:rFonts w:ascii="Calibri" w:cs="Calibri" w:eastAsia="Calibri" w:hAnsi="Calibri"/>
                <w:sz w:val="18"/>
                <w:szCs w:val="18"/>
                <w:color w:val="auto"/>
              </w:rPr>
              <w:t>795</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ind w:left="760"/>
              <w:spacing w:after="0" w:line="209" w:lineRule="exact"/>
              <w:rPr>
                <w:sz w:val="20"/>
                <w:szCs w:val="20"/>
                <w:color w:val="auto"/>
              </w:rPr>
            </w:pPr>
            <w:r>
              <w:rPr>
                <w:rFonts w:ascii="Calibri" w:cs="Calibri" w:eastAsia="Calibri" w:hAnsi="Calibri"/>
                <w:sz w:val="18"/>
                <w:szCs w:val="18"/>
                <w:color w:val="auto"/>
              </w:rPr>
              <w:t>18,497</w:t>
            </w: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859"/>
              <w:spacing w:after="0" w:line="209" w:lineRule="exact"/>
              <w:rPr>
                <w:sz w:val="20"/>
                <w:szCs w:val="20"/>
                <w:color w:val="auto"/>
              </w:rPr>
            </w:pPr>
            <w:r>
              <w:rPr>
                <w:rFonts w:ascii="Calibri" w:cs="Calibri" w:eastAsia="Calibri" w:hAnsi="Calibri"/>
                <w:sz w:val="18"/>
                <w:szCs w:val="18"/>
                <w:color w:val="auto"/>
              </w:rPr>
              <w:t>0</w:t>
            </w:r>
          </w:p>
        </w:tc>
      </w:tr>
    </w:tbl>
    <w:p>
      <w:pPr>
        <w:spacing w:after="0" w:line="86"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color w:val="auto"/>
        </w:rPr>
        <w:t>The stockholders ratfed the appointment of Deloite &amp; Touche LLP as the Company’s independent registered public accountng frm for the fscal year ending December 31, 2026.</w:t>
      </w:r>
    </w:p>
    <w:p>
      <w:pPr>
        <w:spacing w:after="0" w:line="326" w:lineRule="exact"/>
        <w:rPr>
          <w:sz w:val="20"/>
          <w:szCs w:val="20"/>
          <w:color w:val="auto"/>
        </w:rPr>
      </w:pPr>
    </w:p>
    <w:p>
      <w:pPr>
        <w:ind w:right="480"/>
        <w:spacing w:after="0" w:line="235" w:lineRule="auto"/>
        <w:rPr>
          <w:sz w:val="20"/>
          <w:szCs w:val="20"/>
          <w:color w:val="auto"/>
        </w:rPr>
      </w:pPr>
      <w:r>
        <w:rPr>
          <w:rFonts w:ascii="Calibri" w:cs="Calibri" w:eastAsia="Calibri" w:hAnsi="Calibri"/>
          <w:sz w:val="18"/>
          <w:szCs w:val="18"/>
          <w:b w:val="1"/>
          <w:bCs w:val="1"/>
          <w:color w:val="auto"/>
        </w:rPr>
        <w:t>Proposal 3: Amendment to the Amended and Restated Certfcate of Incorporaton, as Amended, to Increase the Company’s Authorized Shares of Common Stock from 100,000,000 Shares to 200,000,000 Shares</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060" w:type="dxa"/>
            <w:vAlign w:val="bottom"/>
            <w:gridSpan w:val="2"/>
          </w:tcPr>
          <w:p>
            <w:pPr>
              <w:jc w:val="center"/>
              <w:ind w:right="140"/>
              <w:spacing w:after="0"/>
              <w:rPr>
                <w:sz w:val="20"/>
                <w:szCs w:val="20"/>
                <w:color w:val="auto"/>
              </w:rPr>
            </w:pPr>
            <w:r>
              <w:rPr>
                <w:rFonts w:ascii="Calibri" w:cs="Calibri" w:eastAsia="Calibri" w:hAnsi="Calibri"/>
                <w:sz w:val="14"/>
                <w:szCs w:val="14"/>
                <w:b w:val="1"/>
                <w:bCs w:val="1"/>
                <w:color w:val="auto"/>
              </w:rPr>
              <w:t>For</w:t>
            </w:r>
          </w:p>
        </w:tc>
        <w:tc>
          <w:tcPr>
            <w:tcW w:w="2040" w:type="dxa"/>
            <w:vAlign w:val="bottom"/>
            <w:gridSpan w:val="2"/>
          </w:tcPr>
          <w:p>
            <w:pPr>
              <w:jc w:val="center"/>
              <w:ind w:right="80"/>
              <w:spacing w:after="0"/>
              <w:rPr>
                <w:sz w:val="20"/>
                <w:szCs w:val="20"/>
                <w:color w:val="auto"/>
              </w:rPr>
            </w:pPr>
            <w:r>
              <w:rPr>
                <w:rFonts w:ascii="Calibri" w:cs="Calibri" w:eastAsia="Calibri" w:hAnsi="Calibri"/>
                <w:sz w:val="14"/>
                <w:szCs w:val="14"/>
                <w:b w:val="1"/>
                <w:bCs w:val="1"/>
                <w:color w:val="auto"/>
              </w:rPr>
              <w:t>Against</w:t>
            </w:r>
          </w:p>
        </w:tc>
        <w:tc>
          <w:tcPr>
            <w:tcW w:w="21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w w:val="99"/>
              </w:rPr>
              <w:t>Abstain</w:t>
            </w:r>
          </w:p>
        </w:tc>
        <w:tc>
          <w:tcPr>
            <w:tcW w:w="1940" w:type="dxa"/>
            <w:vAlign w:val="bottom"/>
          </w:tcPr>
          <w:p>
            <w:pPr>
              <w:jc w:val="center"/>
              <w:spacing w:after="0"/>
              <w:rPr>
                <w:sz w:val="20"/>
                <w:szCs w:val="20"/>
                <w:color w:val="auto"/>
              </w:rPr>
            </w:pPr>
            <w:r>
              <w:rPr>
                <w:rFonts w:ascii="Calibri" w:cs="Calibri" w:eastAsia="Calibri" w:hAnsi="Calibri"/>
                <w:sz w:val="14"/>
                <w:szCs w:val="14"/>
                <w:b w:val="1"/>
                <w:bCs w:val="1"/>
                <w:color w:val="auto"/>
              </w:rPr>
              <w:t>Broker Non-Votes</w:t>
            </w:r>
          </w:p>
        </w:tc>
      </w:tr>
      <w:tr>
        <w:trPr>
          <w:trHeight w:val="33"/>
        </w:trPr>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0"/>
        </w:trPr>
        <w:tc>
          <w:tcPr>
            <w:tcW w:w="1940" w:type="dxa"/>
            <w:vAlign w:val="bottom"/>
            <w:shd w:val="clear" w:color="auto" w:fill="CCEEFF"/>
          </w:tcPr>
          <w:p>
            <w:pPr>
              <w:jc w:val="right"/>
              <w:ind w:right="499"/>
              <w:spacing w:after="0" w:line="209" w:lineRule="exact"/>
              <w:rPr>
                <w:sz w:val="20"/>
                <w:szCs w:val="20"/>
                <w:color w:val="auto"/>
              </w:rPr>
            </w:pPr>
            <w:r>
              <w:rPr>
                <w:rFonts w:ascii="Calibri" w:cs="Calibri" w:eastAsia="Calibri" w:hAnsi="Calibri"/>
                <w:sz w:val="18"/>
                <w:szCs w:val="18"/>
                <w:color w:val="auto"/>
              </w:rPr>
              <w:t>54,711,846</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599"/>
              <w:spacing w:after="0" w:line="209" w:lineRule="exact"/>
              <w:rPr>
                <w:sz w:val="20"/>
                <w:szCs w:val="20"/>
                <w:color w:val="auto"/>
              </w:rPr>
            </w:pPr>
            <w:r>
              <w:rPr>
                <w:rFonts w:ascii="Calibri" w:cs="Calibri" w:eastAsia="Calibri" w:hAnsi="Calibri"/>
                <w:sz w:val="18"/>
                <w:szCs w:val="18"/>
                <w:color w:val="auto"/>
              </w:rPr>
              <w:t>373,215</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579"/>
              <w:spacing w:after="0" w:line="209" w:lineRule="exact"/>
              <w:rPr>
                <w:sz w:val="20"/>
                <w:szCs w:val="20"/>
                <w:color w:val="auto"/>
              </w:rPr>
            </w:pPr>
            <w:r>
              <w:rPr>
                <w:rFonts w:ascii="Calibri" w:cs="Calibri" w:eastAsia="Calibri" w:hAnsi="Calibri"/>
                <w:sz w:val="18"/>
                <w:szCs w:val="18"/>
                <w:color w:val="auto"/>
              </w:rPr>
              <w:t>1,053,724</w:t>
            </w: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859"/>
              <w:spacing w:after="0" w:line="209" w:lineRule="exact"/>
              <w:rPr>
                <w:sz w:val="20"/>
                <w:szCs w:val="20"/>
                <w:color w:val="auto"/>
              </w:rPr>
            </w:pPr>
            <w:r>
              <w:rPr>
                <w:rFonts w:ascii="Calibri" w:cs="Calibri" w:eastAsia="Calibri" w:hAnsi="Calibri"/>
                <w:sz w:val="18"/>
                <w:szCs w:val="18"/>
                <w:color w:val="auto"/>
              </w:rPr>
              <w:t>0</w:t>
            </w:r>
          </w:p>
        </w:tc>
      </w:tr>
    </w:tbl>
    <w:p>
      <w:pPr>
        <w:spacing w:after="0" w:line="86"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stockholders approved the amendment to the Amended and Restated Certfcate of Incorporaton, as amended, to increase the Company’s authorized shares of common stock from 100,000,000 shares to 200,000,000 shares.</w:t>
      </w:r>
    </w:p>
    <w:p>
      <w:pPr>
        <w:spacing w:after="0" w:line="326" w:lineRule="exact"/>
        <w:rPr>
          <w:sz w:val="20"/>
          <w:szCs w:val="20"/>
          <w:color w:val="auto"/>
        </w:rPr>
      </w:pPr>
    </w:p>
    <w:p>
      <w:pPr>
        <w:ind w:right="500"/>
        <w:spacing w:after="0" w:line="235" w:lineRule="auto"/>
        <w:rPr>
          <w:sz w:val="20"/>
          <w:szCs w:val="20"/>
          <w:color w:val="auto"/>
        </w:rPr>
      </w:pPr>
      <w:r>
        <w:rPr>
          <w:rFonts w:ascii="Calibri" w:cs="Calibri" w:eastAsia="Calibri" w:hAnsi="Calibri"/>
          <w:sz w:val="18"/>
          <w:szCs w:val="18"/>
          <w:b w:val="1"/>
          <w:bCs w:val="1"/>
          <w:color w:val="auto"/>
        </w:rPr>
        <w:t>Proposal 4: Approval, in an Advisory (Non-binding) Vote, the Compensaton of the Company’s Named Executve Ofcers as Disclosed in the Proxy Statement</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060" w:type="dxa"/>
            <w:vAlign w:val="bottom"/>
            <w:gridSpan w:val="2"/>
          </w:tcPr>
          <w:p>
            <w:pPr>
              <w:jc w:val="center"/>
              <w:ind w:right="140"/>
              <w:spacing w:after="0"/>
              <w:rPr>
                <w:sz w:val="20"/>
                <w:szCs w:val="20"/>
                <w:color w:val="auto"/>
              </w:rPr>
            </w:pPr>
            <w:r>
              <w:rPr>
                <w:rFonts w:ascii="Calibri" w:cs="Calibri" w:eastAsia="Calibri" w:hAnsi="Calibri"/>
                <w:sz w:val="14"/>
                <w:szCs w:val="14"/>
                <w:b w:val="1"/>
                <w:bCs w:val="1"/>
                <w:color w:val="auto"/>
              </w:rPr>
              <w:t>For</w:t>
            </w:r>
          </w:p>
        </w:tc>
        <w:tc>
          <w:tcPr>
            <w:tcW w:w="2040" w:type="dxa"/>
            <w:vAlign w:val="bottom"/>
            <w:gridSpan w:val="2"/>
          </w:tcPr>
          <w:p>
            <w:pPr>
              <w:jc w:val="center"/>
              <w:ind w:right="80"/>
              <w:spacing w:after="0"/>
              <w:rPr>
                <w:sz w:val="20"/>
                <w:szCs w:val="20"/>
                <w:color w:val="auto"/>
              </w:rPr>
            </w:pPr>
            <w:r>
              <w:rPr>
                <w:rFonts w:ascii="Calibri" w:cs="Calibri" w:eastAsia="Calibri" w:hAnsi="Calibri"/>
                <w:sz w:val="14"/>
                <w:szCs w:val="14"/>
                <w:b w:val="1"/>
                <w:bCs w:val="1"/>
                <w:color w:val="auto"/>
              </w:rPr>
              <w:t>Against</w:t>
            </w:r>
          </w:p>
        </w:tc>
        <w:tc>
          <w:tcPr>
            <w:tcW w:w="2100" w:type="dxa"/>
            <w:vAlign w:val="bottom"/>
            <w:gridSpan w:val="2"/>
          </w:tcPr>
          <w:p>
            <w:pPr>
              <w:ind w:left="780"/>
              <w:spacing w:after="0"/>
              <w:rPr>
                <w:sz w:val="20"/>
                <w:szCs w:val="20"/>
                <w:color w:val="auto"/>
              </w:rPr>
            </w:pPr>
            <w:r>
              <w:rPr>
                <w:rFonts w:ascii="Calibri" w:cs="Calibri" w:eastAsia="Calibri" w:hAnsi="Calibri"/>
                <w:sz w:val="14"/>
                <w:szCs w:val="14"/>
                <w:b w:val="1"/>
                <w:bCs w:val="1"/>
                <w:color w:val="auto"/>
              </w:rPr>
              <w:t>Abstain</w:t>
            </w:r>
          </w:p>
        </w:tc>
        <w:tc>
          <w:tcPr>
            <w:tcW w:w="1940" w:type="dxa"/>
            <w:vAlign w:val="bottom"/>
          </w:tcPr>
          <w:p>
            <w:pPr>
              <w:jc w:val="center"/>
              <w:spacing w:after="0"/>
              <w:rPr>
                <w:sz w:val="20"/>
                <w:szCs w:val="20"/>
                <w:color w:val="auto"/>
              </w:rPr>
            </w:pPr>
            <w:r>
              <w:rPr>
                <w:rFonts w:ascii="Calibri" w:cs="Calibri" w:eastAsia="Calibri" w:hAnsi="Calibri"/>
                <w:sz w:val="14"/>
                <w:szCs w:val="14"/>
                <w:b w:val="1"/>
                <w:bCs w:val="1"/>
                <w:color w:val="auto"/>
              </w:rPr>
              <w:t>Broker Non-Votes</w:t>
            </w:r>
          </w:p>
        </w:tc>
      </w:tr>
      <w:tr>
        <w:trPr>
          <w:trHeight w:val="33"/>
        </w:trPr>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0"/>
        </w:trPr>
        <w:tc>
          <w:tcPr>
            <w:tcW w:w="1940" w:type="dxa"/>
            <w:vAlign w:val="bottom"/>
            <w:shd w:val="clear" w:color="auto" w:fill="CCEEFF"/>
          </w:tcPr>
          <w:p>
            <w:pPr>
              <w:jc w:val="right"/>
              <w:ind w:right="499"/>
              <w:spacing w:after="0" w:line="209" w:lineRule="exact"/>
              <w:rPr>
                <w:sz w:val="20"/>
                <w:szCs w:val="20"/>
                <w:color w:val="auto"/>
              </w:rPr>
            </w:pPr>
            <w:r>
              <w:rPr>
                <w:rFonts w:ascii="Calibri" w:cs="Calibri" w:eastAsia="Calibri" w:hAnsi="Calibri"/>
                <w:sz w:val="18"/>
                <w:szCs w:val="18"/>
                <w:color w:val="auto"/>
              </w:rPr>
              <w:t>47,572,153</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539"/>
              <w:spacing w:after="0" w:line="209" w:lineRule="exact"/>
              <w:rPr>
                <w:sz w:val="20"/>
                <w:szCs w:val="20"/>
                <w:color w:val="auto"/>
              </w:rPr>
            </w:pPr>
            <w:r>
              <w:rPr>
                <w:rFonts w:ascii="Calibri" w:cs="Calibri" w:eastAsia="Calibri" w:hAnsi="Calibri"/>
                <w:sz w:val="18"/>
                <w:szCs w:val="18"/>
                <w:color w:val="auto"/>
              </w:rPr>
              <w:t>3,093,447</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ind w:left="760"/>
              <w:spacing w:after="0" w:line="209" w:lineRule="exact"/>
              <w:rPr>
                <w:sz w:val="20"/>
                <w:szCs w:val="20"/>
                <w:color w:val="auto"/>
              </w:rPr>
            </w:pPr>
            <w:r>
              <w:rPr>
                <w:rFonts w:ascii="Calibri" w:cs="Calibri" w:eastAsia="Calibri" w:hAnsi="Calibri"/>
                <w:sz w:val="18"/>
                <w:szCs w:val="18"/>
                <w:color w:val="auto"/>
              </w:rPr>
              <w:t>21,027</w:t>
            </w: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539"/>
              <w:spacing w:after="0" w:line="209" w:lineRule="exact"/>
              <w:rPr>
                <w:sz w:val="20"/>
                <w:szCs w:val="20"/>
                <w:color w:val="auto"/>
              </w:rPr>
            </w:pPr>
            <w:r>
              <w:rPr>
                <w:rFonts w:ascii="Calibri" w:cs="Calibri" w:eastAsia="Calibri" w:hAnsi="Calibri"/>
                <w:sz w:val="18"/>
                <w:szCs w:val="18"/>
                <w:color w:val="auto"/>
              </w:rPr>
              <w:t>5,452,158</w:t>
            </w:r>
          </w:p>
        </w:tc>
      </w:tr>
    </w:tbl>
    <w:p>
      <w:pPr>
        <w:spacing w:after="0" w:line="86"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stockholders approved, in an advisory (non-binding) vote, the compensaton of the Company’s named executve ofcers as disclosed in the Company’s proxy statement.</w:t>
      </w:r>
    </w:p>
    <w:p>
      <w:pPr>
        <w:spacing w:after="0" w:line="326" w:lineRule="exact"/>
        <w:rPr>
          <w:sz w:val="20"/>
          <w:szCs w:val="20"/>
          <w:color w:val="auto"/>
        </w:rPr>
      </w:pPr>
    </w:p>
    <w:p>
      <w:pPr>
        <w:ind w:right="820"/>
        <w:spacing w:after="0" w:line="235" w:lineRule="auto"/>
        <w:rPr>
          <w:sz w:val="20"/>
          <w:szCs w:val="20"/>
          <w:color w:val="auto"/>
        </w:rPr>
      </w:pPr>
      <w:r>
        <w:rPr>
          <w:rFonts w:ascii="Calibri" w:cs="Calibri" w:eastAsia="Calibri" w:hAnsi="Calibri"/>
          <w:sz w:val="18"/>
          <w:szCs w:val="18"/>
          <w:b w:val="1"/>
          <w:bCs w:val="1"/>
          <w:color w:val="auto"/>
        </w:rPr>
        <w:t>Proposal 5: Approval, in an Advisory (Non-Binding) Vote, of the Frequency of Future Stockholder Advisory Votes on the Compensaton of the Company’s Named Executve Ofcers</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170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One Year</w:t>
            </w:r>
          </w:p>
        </w:tc>
        <w:tc>
          <w:tcPr>
            <w:tcW w:w="186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w w:val="96"/>
              </w:rPr>
              <w:t>Two Years</w:t>
            </w:r>
          </w:p>
        </w:tc>
        <w:tc>
          <w:tcPr>
            <w:tcW w:w="1740" w:type="dxa"/>
            <w:vAlign w:val="bottom"/>
            <w:gridSpan w:val="2"/>
          </w:tcPr>
          <w:p>
            <w:pPr>
              <w:jc w:val="center"/>
              <w:ind w:right="60"/>
              <w:spacing w:after="0"/>
              <w:rPr>
                <w:sz w:val="20"/>
                <w:szCs w:val="20"/>
                <w:color w:val="auto"/>
              </w:rPr>
            </w:pPr>
            <w:r>
              <w:rPr>
                <w:rFonts w:ascii="Calibri" w:cs="Calibri" w:eastAsia="Calibri" w:hAnsi="Calibri"/>
                <w:sz w:val="14"/>
                <w:szCs w:val="14"/>
                <w:b w:val="1"/>
                <w:bCs w:val="1"/>
                <w:color w:val="auto"/>
                <w:w w:val="99"/>
              </w:rPr>
              <w:t>Three Years</w:t>
            </w:r>
          </w:p>
        </w:tc>
        <w:tc>
          <w:tcPr>
            <w:tcW w:w="1840" w:type="dxa"/>
            <w:vAlign w:val="bottom"/>
            <w:gridSpan w:val="2"/>
          </w:tcPr>
          <w:p>
            <w:pPr>
              <w:ind w:left="660"/>
              <w:spacing w:after="0"/>
              <w:rPr>
                <w:sz w:val="20"/>
                <w:szCs w:val="20"/>
                <w:color w:val="auto"/>
              </w:rPr>
            </w:pPr>
            <w:r>
              <w:rPr>
                <w:rFonts w:ascii="Calibri" w:cs="Calibri" w:eastAsia="Calibri" w:hAnsi="Calibri"/>
                <w:sz w:val="14"/>
                <w:szCs w:val="14"/>
                <w:b w:val="1"/>
                <w:bCs w:val="1"/>
                <w:color w:val="auto"/>
              </w:rPr>
              <w:t>Abstain</w:t>
            </w:r>
          </w:p>
        </w:tc>
        <w:tc>
          <w:tcPr>
            <w:tcW w:w="1660" w:type="dxa"/>
            <w:vAlign w:val="bottom"/>
          </w:tcPr>
          <w:p>
            <w:pPr>
              <w:jc w:val="center"/>
              <w:spacing w:after="0"/>
              <w:rPr>
                <w:sz w:val="20"/>
                <w:szCs w:val="20"/>
                <w:color w:val="auto"/>
              </w:rPr>
            </w:pPr>
            <w:r>
              <w:rPr>
                <w:rFonts w:ascii="Calibri" w:cs="Calibri" w:eastAsia="Calibri" w:hAnsi="Calibri"/>
                <w:sz w:val="14"/>
                <w:szCs w:val="14"/>
                <w:b w:val="1"/>
                <w:bCs w:val="1"/>
                <w:color w:val="auto"/>
              </w:rPr>
              <w:t>Broker Non-Votes</w:t>
            </w:r>
          </w:p>
        </w:tc>
      </w:tr>
      <w:tr>
        <w:trPr>
          <w:trHeight w:val="33"/>
        </w:trPr>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0"/>
        </w:trPr>
        <w:tc>
          <w:tcPr>
            <w:tcW w:w="1580" w:type="dxa"/>
            <w:vAlign w:val="bottom"/>
            <w:shd w:val="clear" w:color="auto" w:fill="CCEEFF"/>
          </w:tcPr>
          <w:p>
            <w:pPr>
              <w:jc w:val="right"/>
              <w:ind w:right="299"/>
              <w:spacing w:after="0" w:line="209" w:lineRule="exact"/>
              <w:rPr>
                <w:sz w:val="20"/>
                <w:szCs w:val="20"/>
                <w:color w:val="auto"/>
              </w:rPr>
            </w:pPr>
            <w:r>
              <w:rPr>
                <w:rFonts w:ascii="Calibri" w:cs="Calibri" w:eastAsia="Calibri" w:hAnsi="Calibri"/>
                <w:sz w:val="18"/>
                <w:szCs w:val="18"/>
                <w:color w:val="auto"/>
              </w:rPr>
              <w:t>49,028,648</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439"/>
              <w:spacing w:after="0" w:line="209" w:lineRule="exact"/>
              <w:rPr>
                <w:sz w:val="20"/>
                <w:szCs w:val="20"/>
                <w:color w:val="auto"/>
              </w:rPr>
            </w:pPr>
            <w:r>
              <w:rPr>
                <w:rFonts w:ascii="Calibri" w:cs="Calibri" w:eastAsia="Calibri" w:hAnsi="Calibri"/>
                <w:sz w:val="18"/>
                <w:szCs w:val="18"/>
                <w:color w:val="auto"/>
              </w:rPr>
              <w:t>1,048,220</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59"/>
              <w:spacing w:after="0" w:line="209" w:lineRule="exact"/>
              <w:rPr>
                <w:sz w:val="20"/>
                <w:szCs w:val="20"/>
                <w:color w:val="auto"/>
              </w:rPr>
            </w:pPr>
            <w:r>
              <w:rPr>
                <w:rFonts w:ascii="Calibri" w:cs="Calibri" w:eastAsia="Calibri" w:hAnsi="Calibri"/>
                <w:sz w:val="18"/>
                <w:szCs w:val="18"/>
                <w:color w:val="auto"/>
              </w:rPr>
              <w:t>591,775</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ind w:left="640"/>
              <w:spacing w:after="0" w:line="209" w:lineRule="exact"/>
              <w:rPr>
                <w:sz w:val="20"/>
                <w:szCs w:val="20"/>
                <w:color w:val="auto"/>
              </w:rPr>
            </w:pPr>
            <w:r>
              <w:rPr>
                <w:rFonts w:ascii="Calibri" w:cs="Calibri" w:eastAsia="Calibri" w:hAnsi="Calibri"/>
                <w:sz w:val="18"/>
                <w:szCs w:val="18"/>
                <w:color w:val="auto"/>
              </w:rPr>
              <w:t>17,984</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79"/>
              <w:spacing w:after="0" w:line="209" w:lineRule="exact"/>
              <w:rPr>
                <w:sz w:val="20"/>
                <w:szCs w:val="20"/>
                <w:color w:val="auto"/>
              </w:rPr>
            </w:pPr>
            <w:r>
              <w:rPr>
                <w:rFonts w:ascii="Calibri" w:cs="Calibri" w:eastAsia="Calibri" w:hAnsi="Calibri"/>
                <w:sz w:val="18"/>
                <w:szCs w:val="18"/>
                <w:color w:val="auto"/>
              </w:rPr>
              <w:t>5,452,158</w:t>
            </w:r>
          </w:p>
        </w:tc>
      </w:tr>
    </w:tbl>
    <w:p>
      <w:pPr>
        <w:spacing w:after="0" w:line="194"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stockholders approved, in an advisory (non-binding) vote, for the frequency of future stockholder advisory votes regarding the compensaton of the Company’s named executve ofcers to be held every one year. In accordance with the recommendaton of the Company’s board of directors and the votng results of the Company’s stockholders on this non-binding, advisory vote, the Company will hold an advisory (non-binding) vote on the compensaton of the Company’s named executve ofcers on an annual basis. The next required non-binding, advisory vote on the frequency of future stockholder advisory votes on the compensaton of the Company’s named executve ofcers will take place no later than the Company’s annual meetng of stockholders in 2032.</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40" w:type="dxa"/>
            <w:vAlign w:val="bottom"/>
            <w:gridSpan w:val="2"/>
          </w:tcPr>
          <w:p>
            <w:pPr>
              <w:spacing w:after="0"/>
              <w:rPr>
                <w:sz w:val="20"/>
                <w:szCs w:val="20"/>
                <w:color w:val="auto"/>
              </w:rPr>
            </w:pPr>
            <w:r>
              <w:rPr>
                <w:rFonts w:ascii="Calibri" w:cs="Calibri" w:eastAsia="Calibri" w:hAnsi="Calibri"/>
                <w:sz w:val="18"/>
                <w:szCs w:val="18"/>
                <w:b w:val="1"/>
                <w:bCs w:val="1"/>
                <w:color w:val="auto"/>
              </w:rPr>
              <w:t>Item 9.01</w:t>
            </w:r>
          </w:p>
        </w:tc>
        <w:tc>
          <w:tcPr>
            <w:tcW w:w="10180" w:type="dxa"/>
            <w:vAlign w:val="bottom"/>
            <w:gridSpan w:val="2"/>
          </w:tcPr>
          <w:p>
            <w:pPr>
              <w:ind w:left="360"/>
              <w:spacing w:after="0"/>
              <w:rPr>
                <w:sz w:val="20"/>
                <w:szCs w:val="20"/>
                <w:color w:val="auto"/>
              </w:rPr>
            </w:pPr>
            <w:r>
              <w:rPr>
                <w:rFonts w:ascii="Calibri" w:cs="Calibri" w:eastAsia="Calibri" w:hAnsi="Calibri"/>
                <w:sz w:val="18"/>
                <w:szCs w:val="18"/>
                <w:b w:val="1"/>
                <w:bCs w:val="1"/>
                <w:color w:val="auto"/>
              </w:rPr>
              <w:t>Financial Statements and Exhibits.</w:t>
            </w:r>
          </w:p>
        </w:tc>
      </w:tr>
      <w:tr>
        <w:trPr>
          <w:trHeight w:val="324"/>
        </w:trPr>
        <w:tc>
          <w:tcPr>
            <w:tcW w:w="11020" w:type="dxa"/>
            <w:vAlign w:val="bottom"/>
            <w:gridSpan w:val="4"/>
          </w:tcPr>
          <w:p>
            <w:pPr>
              <w:spacing w:after="0"/>
              <w:rPr>
                <w:sz w:val="20"/>
                <w:szCs w:val="20"/>
                <w:color w:val="auto"/>
              </w:rPr>
            </w:pPr>
            <w:r>
              <w:rPr>
                <w:rFonts w:ascii="Calibri" w:cs="Calibri" w:eastAsia="Calibri" w:hAnsi="Calibri"/>
                <w:sz w:val="18"/>
                <w:szCs w:val="18"/>
                <w:b w:val="1"/>
                <w:bCs w:val="1"/>
                <w:color w:val="auto"/>
              </w:rPr>
              <w:t>(d) Exhibits.</w:t>
            </w:r>
          </w:p>
        </w:tc>
      </w:tr>
      <w:tr>
        <w:trPr>
          <w:trHeight w:val="422"/>
        </w:trPr>
        <w:tc>
          <w:tcPr>
            <w:tcW w:w="840" w:type="dxa"/>
            <w:vAlign w:val="bottom"/>
            <w:gridSpan w:val="2"/>
          </w:tcPr>
          <w:p>
            <w:pPr>
              <w:spacing w:after="0"/>
              <w:rPr>
                <w:sz w:val="20"/>
                <w:szCs w:val="20"/>
                <w:color w:val="auto"/>
              </w:rPr>
            </w:pPr>
            <w:r>
              <w:rPr>
                <w:rFonts w:ascii="Calibri" w:cs="Calibri" w:eastAsia="Calibri" w:hAnsi="Calibri"/>
                <w:sz w:val="14"/>
                <w:szCs w:val="14"/>
                <w:b w:val="1"/>
                <w:bCs w:val="1"/>
                <w:color w:val="auto"/>
              </w:rPr>
              <w:t>Exhibit</w:t>
            </w:r>
          </w:p>
        </w:tc>
        <w:tc>
          <w:tcPr>
            <w:tcW w:w="90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9"/>
        </w:trPr>
        <w:tc>
          <w:tcPr>
            <w:tcW w:w="840" w:type="dxa"/>
            <w:vAlign w:val="bottom"/>
            <w:gridSpan w:val="2"/>
          </w:tcPr>
          <w:p>
            <w:pPr>
              <w:ind w:left="100"/>
              <w:spacing w:after="0"/>
              <w:rPr>
                <w:sz w:val="20"/>
                <w:szCs w:val="20"/>
                <w:color w:val="auto"/>
              </w:rPr>
            </w:pPr>
            <w:r>
              <w:rPr>
                <w:rFonts w:ascii="Calibri" w:cs="Calibri" w:eastAsia="Calibri" w:hAnsi="Calibri"/>
                <w:sz w:val="14"/>
                <w:szCs w:val="14"/>
                <w:b w:val="1"/>
                <w:bCs w:val="1"/>
                <w:color w:val="auto"/>
              </w:rPr>
              <w:t>No.</w:t>
            </w:r>
          </w:p>
        </w:tc>
        <w:tc>
          <w:tcPr>
            <w:tcW w:w="10180" w:type="dxa"/>
            <w:vAlign w:val="bottom"/>
            <w:gridSpan w:val="2"/>
          </w:tcPr>
          <w:p>
            <w:pPr>
              <w:spacing w:after="0"/>
              <w:rPr>
                <w:sz w:val="20"/>
                <w:szCs w:val="20"/>
                <w:color w:val="auto"/>
              </w:rPr>
            </w:pPr>
            <w:r>
              <w:rPr>
                <w:rFonts w:ascii="Calibri" w:cs="Calibri" w:eastAsia="Calibri" w:hAnsi="Calibri"/>
                <w:sz w:val="14"/>
                <w:szCs w:val="14"/>
                <w:b w:val="1"/>
                <w:bCs w:val="1"/>
                <w:color w:val="auto"/>
              </w:rPr>
              <w:t>Descripton</w:t>
            </w:r>
          </w:p>
        </w:tc>
      </w:tr>
      <w:tr>
        <w:trPr>
          <w:trHeight w:val="270"/>
        </w:trPr>
        <w:tc>
          <w:tcPr>
            <w:tcW w:w="420" w:type="dxa"/>
            <w:vAlign w:val="bottom"/>
            <w:tcBorders>
              <w:top w:val="single" w:sz="8" w:color="auto"/>
            </w:tcBorders>
          </w:tcPr>
          <w:p>
            <w:pPr>
              <w:spacing w:after="0"/>
              <w:rPr>
                <w:sz w:val="20"/>
                <w:szCs w:val="20"/>
                <w:color w:val="auto"/>
              </w:rPr>
            </w:pPr>
            <w:r>
              <w:rPr>
                <w:rFonts w:ascii="Calibri" w:cs="Calibri" w:eastAsia="Calibri" w:hAnsi="Calibri"/>
                <w:sz w:val="18"/>
                <w:szCs w:val="18"/>
                <w:color w:val="auto"/>
              </w:rPr>
              <w:t>3.1</w:t>
            </w:r>
          </w:p>
        </w:tc>
        <w:tc>
          <w:tcPr>
            <w:tcW w:w="420" w:type="dxa"/>
            <w:vAlign w:val="bottom"/>
          </w:tcPr>
          <w:p>
            <w:pPr>
              <w:spacing w:after="0"/>
              <w:rPr>
                <w:sz w:val="23"/>
                <w:szCs w:val="23"/>
                <w:color w:val="auto"/>
              </w:rPr>
            </w:pPr>
          </w:p>
        </w:tc>
        <w:tc>
          <w:tcPr>
            <w:tcW w:w="10180" w:type="dxa"/>
            <w:vAlign w:val="bottom"/>
            <w:tcBorders>
              <w:top w:val="single" w:sz="8" w:color="auto"/>
            </w:tcBorders>
            <w:gridSpan w:val="2"/>
          </w:tcPr>
          <w:p>
            <w:pPr>
              <w:spacing w:after="0"/>
              <w:rPr>
                <w:sz w:val="20"/>
                <w:szCs w:val="20"/>
                <w:color w:val="auto"/>
              </w:rPr>
            </w:pPr>
            <w:r>
              <w:rPr>
                <w:rFonts w:ascii="Calibri" w:cs="Calibri" w:eastAsia="Calibri" w:hAnsi="Calibri"/>
                <w:sz w:val="18"/>
                <w:szCs w:val="18"/>
                <w:color w:val="0000EE"/>
              </w:rPr>
              <w:t>Certfcate of Amendment to the Amended and Restated Certfcate of Incorporaton, as Amended, of Enliven Therapeutcs, Inc.</w:t>
            </w:r>
          </w:p>
        </w:tc>
      </w:tr>
      <w:tr>
        <w:trPr>
          <w:trHeight w:val="335"/>
        </w:trPr>
        <w:tc>
          <w:tcPr>
            <w:tcW w:w="420" w:type="dxa"/>
            <w:vAlign w:val="bottom"/>
          </w:tcPr>
          <w:p>
            <w:pPr>
              <w:spacing w:after="0"/>
              <w:rPr>
                <w:sz w:val="20"/>
                <w:szCs w:val="20"/>
                <w:color w:val="auto"/>
              </w:rPr>
            </w:pPr>
            <w:r>
              <w:rPr>
                <w:rFonts w:ascii="Calibri" w:cs="Calibri" w:eastAsia="Calibri" w:hAnsi="Calibri"/>
                <w:sz w:val="18"/>
                <w:szCs w:val="18"/>
                <w:color w:val="auto"/>
              </w:rPr>
              <w:t>104</w:t>
            </w:r>
          </w:p>
        </w:tc>
        <w:tc>
          <w:tcPr>
            <w:tcW w:w="420" w:type="dxa"/>
            <w:vAlign w:val="bottom"/>
          </w:tcPr>
          <w:p>
            <w:pPr>
              <w:spacing w:after="0"/>
              <w:rPr>
                <w:sz w:val="24"/>
                <w:szCs w:val="24"/>
                <w:color w:val="auto"/>
              </w:rPr>
            </w:pPr>
          </w:p>
        </w:tc>
        <w:tc>
          <w:tcPr>
            <w:tcW w:w="9020" w:type="dxa"/>
            <w:vAlign w:val="bottom"/>
            <w:tcBorders>
              <w:top w:val="single" w:sz="8" w:color="0000EE"/>
            </w:tcBorders>
          </w:tcPr>
          <w:p>
            <w:pPr>
              <w:spacing w:after="0"/>
              <w:rPr>
                <w:sz w:val="20"/>
                <w:szCs w:val="20"/>
                <w:color w:val="auto"/>
              </w:rPr>
            </w:pPr>
            <w:r>
              <w:rPr>
                <w:rFonts w:ascii="Calibri" w:cs="Calibri" w:eastAsia="Calibri" w:hAnsi="Calibri"/>
                <w:sz w:val="18"/>
                <w:szCs w:val="18"/>
                <w:color w:val="auto"/>
              </w:rPr>
              <w:t>Cover Page Interactve Data File (embedded within the Inline XBRL document)</w:t>
            </w:r>
          </w:p>
        </w:tc>
        <w:tc>
          <w:tcPr>
            <w:tcW w:w="1160" w:type="dxa"/>
            <w:vAlign w:val="bottom"/>
          </w:tcPr>
          <w:p>
            <w:pPr>
              <w:spacing w:after="0"/>
              <w:rPr>
                <w:sz w:val="24"/>
                <w:szCs w:val="24"/>
                <w:color w:val="auto"/>
              </w:rPr>
            </w:pPr>
          </w:p>
        </w:tc>
      </w:tr>
    </w:tbl>
    <w:p>
      <w:pPr>
        <w:sectPr>
          <w:pgSz w:w="11900" w:h="16838" w:orient="portrait"/>
          <w:cols w:equalWidth="0" w:num="1">
            <w:col w:w="11020"/>
          </w:cols>
          <w:pgMar w:left="440" w:top="288" w:right="439" w:bottom="1440" w:gutter="0" w:footer="0" w:header="0"/>
        </w:sectPr>
      </w:pPr>
    </w:p>
    <w:bookmarkStart w:id="3" w:name="page4"/>
    <w:bookmarkEnd w:id="3"/>
    <w:p>
      <w:pPr>
        <w:jc w:val="center"/>
        <w:spacing w:after="0"/>
        <w:rPr>
          <w:sz w:val="20"/>
          <w:szCs w:val="20"/>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17" w:lineRule="exact"/>
        <w:rPr>
          <w:sz w:val="20"/>
          <w:szCs w:val="20"/>
          <w:color w:val="auto"/>
        </w:rPr>
      </w:pPr>
    </w:p>
    <w:p>
      <w:pPr>
        <w:ind w:right="840"/>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Calibri" w:cs="Calibri" w:eastAsia="Calibri" w:hAnsi="Calibri"/>
                <w:sz w:val="18"/>
                <w:szCs w:val="18"/>
                <w:b w:val="1"/>
                <w:bCs w:val="1"/>
                <w:color w:val="auto"/>
              </w:rPr>
              <w:t>Enliven Therapeutcs, Inc.</w:t>
            </w:r>
          </w:p>
        </w:tc>
      </w:tr>
      <w:tr>
        <w:trPr>
          <w:trHeight w:val="456"/>
        </w:trPr>
        <w:tc>
          <w:tcPr>
            <w:tcW w:w="3420" w:type="dxa"/>
            <w:vAlign w:val="bottom"/>
          </w:tcPr>
          <w:p>
            <w:pPr>
              <w:spacing w:after="0"/>
              <w:rPr>
                <w:sz w:val="20"/>
                <w:szCs w:val="20"/>
                <w:color w:val="auto"/>
              </w:rPr>
            </w:pPr>
            <w:r>
              <w:rPr>
                <w:rFonts w:ascii="Calibri" w:cs="Calibri" w:eastAsia="Calibri" w:hAnsi="Calibri"/>
                <w:sz w:val="18"/>
                <w:szCs w:val="18"/>
                <w:color w:val="auto"/>
              </w:rPr>
              <w:t>Date: June 9, 2026</w:t>
            </w:r>
          </w:p>
        </w:tc>
        <w:tc>
          <w:tcPr>
            <w:tcW w:w="2740" w:type="dxa"/>
            <w:vAlign w:val="bottom"/>
          </w:tcPr>
          <w:p>
            <w:pPr>
              <w:ind w:left="2100"/>
              <w:spacing w:after="0"/>
              <w:rPr>
                <w:sz w:val="20"/>
                <w:szCs w:val="20"/>
                <w:color w:val="auto"/>
              </w:rPr>
            </w:pPr>
            <w:r>
              <w:rPr>
                <w:rFonts w:ascii="Calibri" w:cs="Calibri" w:eastAsia="Calibri" w:hAnsi="Calibri"/>
                <w:sz w:val="18"/>
                <w:szCs w:val="18"/>
                <w:color w:val="auto"/>
              </w:rPr>
              <w:t>By:</w:t>
            </w:r>
          </w:p>
        </w:tc>
        <w:tc>
          <w:tcPr>
            <w:tcW w:w="4860" w:type="dxa"/>
            <w:vAlign w:val="bottom"/>
            <w:tcBorders>
              <w:bottom w:val="single" w:sz="8" w:color="auto"/>
            </w:tcBorders>
          </w:tcPr>
          <w:p>
            <w:pPr>
              <w:spacing w:after="0"/>
              <w:rPr>
                <w:sz w:val="20"/>
                <w:szCs w:val="20"/>
                <w:color w:val="auto"/>
              </w:rPr>
            </w:pPr>
            <w:r>
              <w:rPr>
                <w:rFonts w:ascii="Calibri" w:cs="Calibri" w:eastAsia="Calibri" w:hAnsi="Calibri"/>
                <w:sz w:val="18"/>
                <w:szCs w:val="18"/>
                <w:color w:val="auto"/>
              </w:rPr>
              <w:t>/s/ Richard Fair</w:t>
            </w:r>
          </w:p>
        </w:tc>
      </w:tr>
      <w:tr>
        <w:trPr>
          <w:trHeight w:val="201"/>
        </w:trPr>
        <w:tc>
          <w:tcPr>
            <w:tcW w:w="3420" w:type="dxa"/>
            <w:vAlign w:val="bottom"/>
          </w:tcPr>
          <w:p>
            <w:pPr>
              <w:spacing w:after="0"/>
              <w:rPr>
                <w:sz w:val="17"/>
                <w:szCs w:val="17"/>
                <w:color w:val="auto"/>
              </w:rPr>
            </w:pPr>
          </w:p>
        </w:tc>
        <w:tc>
          <w:tcPr>
            <w:tcW w:w="2740" w:type="dxa"/>
            <w:vAlign w:val="bottom"/>
          </w:tcPr>
          <w:p>
            <w:pPr>
              <w:ind w:left="2100"/>
              <w:spacing w:after="0" w:line="199" w:lineRule="exact"/>
              <w:rPr>
                <w:sz w:val="20"/>
                <w:szCs w:val="20"/>
                <w:color w:val="auto"/>
              </w:rPr>
            </w:pPr>
            <w:r>
              <w:rPr>
                <w:rFonts w:ascii="Calibri" w:cs="Calibri" w:eastAsia="Calibri" w:hAnsi="Calibri"/>
                <w:sz w:val="18"/>
                <w:szCs w:val="18"/>
                <w:color w:val="auto"/>
              </w:rPr>
              <w:t>Name:</w:t>
            </w:r>
          </w:p>
        </w:tc>
        <w:tc>
          <w:tcPr>
            <w:tcW w:w="4860" w:type="dxa"/>
            <w:vAlign w:val="bottom"/>
          </w:tcPr>
          <w:p>
            <w:pPr>
              <w:spacing w:after="0" w:line="201" w:lineRule="exact"/>
              <w:rPr>
                <w:sz w:val="20"/>
                <w:szCs w:val="20"/>
                <w:color w:val="auto"/>
              </w:rPr>
            </w:pPr>
            <w:r>
              <w:rPr>
                <w:rFonts w:ascii="Calibri" w:cs="Calibri" w:eastAsia="Calibri" w:hAnsi="Calibri"/>
                <w:sz w:val="18"/>
                <w:szCs w:val="18"/>
                <w:color w:val="auto"/>
              </w:rPr>
              <w:t>Richard Fair</w:t>
            </w:r>
          </w:p>
        </w:tc>
      </w:tr>
      <w:tr>
        <w:trPr>
          <w:trHeight w:val="215"/>
        </w:trPr>
        <w:tc>
          <w:tcPr>
            <w:tcW w:w="3420" w:type="dxa"/>
            <w:vAlign w:val="bottom"/>
          </w:tcPr>
          <w:p>
            <w:pPr>
              <w:spacing w:after="0"/>
              <w:rPr>
                <w:sz w:val="18"/>
                <w:szCs w:val="18"/>
                <w:color w:val="auto"/>
              </w:rPr>
            </w:pPr>
          </w:p>
        </w:tc>
        <w:tc>
          <w:tcPr>
            <w:tcW w:w="2740" w:type="dxa"/>
            <w:vAlign w:val="bottom"/>
          </w:tcPr>
          <w:p>
            <w:pPr>
              <w:ind w:left="2100"/>
              <w:spacing w:after="0" w:line="215" w:lineRule="exact"/>
              <w:rPr>
                <w:sz w:val="20"/>
                <w:szCs w:val="20"/>
                <w:color w:val="auto"/>
              </w:rPr>
            </w:pPr>
            <w:r>
              <w:rPr>
                <w:rFonts w:ascii="Calibri" w:cs="Calibri" w:eastAsia="Calibri" w:hAnsi="Calibri"/>
                <w:sz w:val="18"/>
                <w:szCs w:val="18"/>
                <w:color w:val="auto"/>
              </w:rPr>
              <w:t>Title:</w:t>
            </w:r>
          </w:p>
        </w:tc>
        <w:tc>
          <w:tcPr>
            <w:tcW w:w="4860" w:type="dxa"/>
            <w:vAlign w:val="bottom"/>
          </w:tcPr>
          <w:p>
            <w:pPr>
              <w:spacing w:after="0" w:line="215" w:lineRule="exact"/>
              <w:rPr>
                <w:sz w:val="20"/>
                <w:szCs w:val="20"/>
                <w:color w:val="auto"/>
              </w:rPr>
            </w:pPr>
            <w:r>
              <w:rPr>
                <w:rFonts w:ascii="Calibri" w:cs="Calibri" w:eastAsia="Calibri" w:hAnsi="Calibri"/>
                <w:sz w:val="18"/>
                <w:szCs w:val="18"/>
                <w:color w:val="auto"/>
              </w:rPr>
              <w:t>President and Chief Executve Ofcer</w:t>
            </w:r>
          </w:p>
        </w:tc>
      </w:tr>
    </w:tbl>
    <w:p>
      <w:pPr>
        <w:sectPr>
          <w:pgSz w:w="11900" w:h="16838" w:orient="portrait"/>
          <w:cols w:equalWidth="0" w:num="1">
            <w:col w:w="11020"/>
          </w:cols>
          <w:pgMar w:left="440" w:top="288" w:right="439" w:bottom="1440" w:gutter="0" w:footer="0" w:header="0"/>
        </w:sectPr>
      </w:pPr>
    </w:p>
    <w:bookmarkStart w:id="4" w:name="page5"/>
    <w:bookmarkEnd w:id="4"/>
    <w:p>
      <w:pPr>
        <w:jc w:val="right"/>
        <w:spacing w:after="0"/>
        <w:rPr>
          <w:sz w:val="20"/>
          <w:szCs w:val="20"/>
          <w:color w:val="auto"/>
        </w:rPr>
      </w:pPr>
      <w:r>
        <w:rPr>
          <w:rFonts w:ascii="Calibri" w:cs="Calibri" w:eastAsia="Calibri" w:hAnsi="Calibri"/>
          <w:sz w:val="18"/>
          <w:szCs w:val="18"/>
          <w:b w:val="1"/>
          <w:bCs w:val="1"/>
          <w:color w:val="auto"/>
        </w:rPr>
        <w:t>Exhibit 3.1</w:t>
      </w:r>
    </w:p>
    <w:p>
      <w:pPr>
        <w:spacing w:after="0" w:line="212" w:lineRule="exact"/>
        <w:rPr>
          <w:sz w:val="20"/>
          <w:szCs w:val="20"/>
          <w:color w:val="auto"/>
        </w:rPr>
      </w:pPr>
    </w:p>
    <w:p>
      <w:pPr>
        <w:jc w:val="center"/>
        <w:ind w:right="440"/>
        <w:spacing w:after="0"/>
        <w:rPr>
          <w:sz w:val="20"/>
          <w:szCs w:val="20"/>
          <w:color w:val="auto"/>
        </w:rPr>
      </w:pPr>
      <w:r>
        <w:rPr>
          <w:rFonts w:ascii="Calibri" w:cs="Calibri" w:eastAsia="Calibri" w:hAnsi="Calibri"/>
          <w:sz w:val="18"/>
          <w:szCs w:val="18"/>
          <w:b w:val="1"/>
          <w:bCs w:val="1"/>
          <w:color w:val="auto"/>
        </w:rPr>
        <w:t>CERTIFICATE OF AMENDMENT TO THE RESTATED CERTIFICATE OF</w:t>
      </w:r>
    </w:p>
    <w:p>
      <w:pPr>
        <w:jc w:val="center"/>
        <w:ind w:right="440"/>
        <w:spacing w:after="0" w:line="235" w:lineRule="auto"/>
        <w:rPr>
          <w:sz w:val="20"/>
          <w:szCs w:val="20"/>
          <w:color w:val="auto"/>
        </w:rPr>
      </w:pPr>
      <w:r>
        <w:rPr>
          <w:rFonts w:ascii="Calibri" w:cs="Calibri" w:eastAsia="Calibri" w:hAnsi="Calibri"/>
          <w:sz w:val="18"/>
          <w:szCs w:val="18"/>
          <w:b w:val="1"/>
          <w:bCs w:val="1"/>
          <w:color w:val="auto"/>
        </w:rPr>
        <w:t>INCORPORATION OF ENLIVEN THERAPEUTICS, INC.</w:t>
      </w:r>
    </w:p>
    <w:p>
      <w:pPr>
        <w:spacing w:after="0" w:line="213" w:lineRule="exact"/>
        <w:rPr>
          <w:sz w:val="20"/>
          <w:szCs w:val="20"/>
          <w:color w:val="auto"/>
        </w:rPr>
      </w:pPr>
    </w:p>
    <w:p>
      <w:pPr>
        <w:jc w:val="center"/>
        <w:ind w:right="440"/>
        <w:spacing w:after="0"/>
        <w:rPr>
          <w:sz w:val="20"/>
          <w:szCs w:val="20"/>
          <w:color w:val="auto"/>
        </w:rPr>
      </w:pPr>
      <w:r>
        <w:rPr>
          <w:rFonts w:ascii="Calibri" w:cs="Calibri" w:eastAsia="Calibri" w:hAnsi="Calibri"/>
          <w:sz w:val="18"/>
          <w:szCs w:val="18"/>
          <w:color w:val="auto"/>
        </w:rPr>
        <w:t>(Pursuant to Secton 242 of the</w:t>
      </w:r>
    </w:p>
    <w:p>
      <w:pPr>
        <w:jc w:val="center"/>
        <w:ind w:right="440"/>
        <w:spacing w:after="0" w:line="235" w:lineRule="auto"/>
        <w:rPr>
          <w:sz w:val="20"/>
          <w:szCs w:val="20"/>
          <w:color w:val="auto"/>
        </w:rPr>
      </w:pPr>
      <w:r>
        <w:rPr>
          <w:rFonts w:ascii="Calibri" w:cs="Calibri" w:eastAsia="Calibri" w:hAnsi="Calibri"/>
          <w:sz w:val="18"/>
          <w:szCs w:val="18"/>
          <w:color w:val="auto"/>
        </w:rPr>
        <w:t>General Corporaton Law of the State of Delaware)</w:t>
      </w:r>
    </w:p>
    <w:p>
      <w:pPr>
        <w:spacing w:after="0" w:line="21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Enliven Therapeutcs, Inc., a corporaton organized and existng under the laws of the State of Delaware (the “Corporaton”), DOES HEREBY CERTIFY:</w:t>
      </w:r>
    </w:p>
    <w:p>
      <w:pPr>
        <w:spacing w:after="0" w:line="130" w:lineRule="exact"/>
        <w:rPr>
          <w:sz w:val="20"/>
          <w:szCs w:val="20"/>
          <w:color w:val="auto"/>
        </w:rPr>
      </w:pPr>
    </w:p>
    <w:p>
      <w:pPr>
        <w:ind w:left="540" w:right="140" w:hanging="532"/>
        <w:spacing w:after="0" w:line="235" w:lineRule="auto"/>
        <w:tabs>
          <w:tab w:leader="none" w:pos="5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name of the Corporaton is Enliven Therapeutcs, Inc. The Corporaton’s original Certfcate of Incorporaton was fled with the Secretary of State of the State of Delaware on January 26, 2016 under the name IMARA Inc.</w:t>
      </w:r>
    </w:p>
    <w:p>
      <w:pPr>
        <w:spacing w:after="0" w:line="123" w:lineRule="exact"/>
        <w:rPr>
          <w:rFonts w:ascii="Calibri" w:cs="Calibri" w:eastAsia="Calibri" w:hAnsi="Calibri"/>
          <w:sz w:val="18"/>
          <w:szCs w:val="18"/>
          <w:color w:val="auto"/>
        </w:rPr>
      </w:pPr>
    </w:p>
    <w:p>
      <w:pPr>
        <w:ind w:left="540" w:right="100" w:hanging="532"/>
        <w:spacing w:after="0" w:line="235" w:lineRule="auto"/>
        <w:tabs>
          <w:tab w:leader="none" w:pos="5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This Certfcate of Amendment to the Restated Certfcate of Incorporaton of the Corporaton has been duly adopted in accordance with the applicable provisions of Secton 242 of the Delaware General Corporaton Law of the State of Delaware, by the Board of Directors and the stockholders of the Corporaton.</w:t>
      </w:r>
    </w:p>
    <w:p>
      <w:pPr>
        <w:spacing w:after="0" w:line="124" w:lineRule="exact"/>
        <w:rPr>
          <w:rFonts w:ascii="Calibri" w:cs="Calibri" w:eastAsia="Calibri" w:hAnsi="Calibri"/>
          <w:sz w:val="18"/>
          <w:szCs w:val="18"/>
          <w:color w:val="auto"/>
        </w:rPr>
      </w:pPr>
    </w:p>
    <w:p>
      <w:pPr>
        <w:ind w:left="540" w:right="480" w:hanging="532"/>
        <w:spacing w:after="0" w:line="235" w:lineRule="auto"/>
        <w:tabs>
          <w:tab w:leader="none" w:pos="5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frst three paragraphs of Artcle FOURTH of the Corporaton’s certfcate of incorporaton are hereby amended and restated in their entrety to read as follows:</w:t>
      </w:r>
    </w:p>
    <w:p>
      <w:pPr>
        <w:spacing w:after="0" w:line="109" w:lineRule="exact"/>
        <w:rPr>
          <w:rFonts w:ascii="Calibri" w:cs="Calibri" w:eastAsia="Calibri" w:hAnsi="Calibri"/>
          <w:sz w:val="18"/>
          <w:szCs w:val="18"/>
          <w:color w:val="auto"/>
        </w:rPr>
      </w:pPr>
    </w:p>
    <w:p>
      <w:pPr>
        <w:ind w:left="560" w:right="540"/>
        <w:spacing w:after="0" w:line="235" w:lineRule="auto"/>
        <w:rPr>
          <w:rFonts w:ascii="Calibri" w:cs="Calibri" w:eastAsia="Calibri" w:hAnsi="Calibri"/>
          <w:sz w:val="18"/>
          <w:szCs w:val="18"/>
          <w:color w:val="auto"/>
        </w:rPr>
      </w:pPr>
      <w:r>
        <w:rPr>
          <w:rFonts w:ascii="Calibri" w:cs="Calibri" w:eastAsia="Calibri" w:hAnsi="Calibri"/>
          <w:sz w:val="18"/>
          <w:szCs w:val="18"/>
          <w:color w:val="auto"/>
        </w:rPr>
        <w:t>“FOURTH: The total number of shares of all classes of stock which the Corporaton shall have authority to issue is 210,000,000 shares, consistng of</w:t>
      </w:r>
    </w:p>
    <w:p>
      <w:pPr>
        <w:spacing w:after="0" w:line="118" w:lineRule="exact"/>
        <w:rPr>
          <w:rFonts w:ascii="Calibri" w:cs="Calibri" w:eastAsia="Calibri" w:hAnsi="Calibri"/>
          <w:sz w:val="18"/>
          <w:szCs w:val="18"/>
          <w:color w:val="auto"/>
        </w:rPr>
      </w:pPr>
    </w:p>
    <w:p>
      <w:pPr>
        <w:ind w:left="1540" w:hanging="533"/>
        <w:spacing w:after="0"/>
        <w:tabs>
          <w:tab w:leader="none" w:pos="1540" w:val="left"/>
        </w:tabs>
        <w:numPr>
          <w:ilvl w:val="1"/>
          <w:numId w:val="3"/>
        </w:numPr>
        <w:rPr>
          <w:rFonts w:ascii="Calibri" w:cs="Calibri" w:eastAsia="Calibri" w:hAnsi="Calibri"/>
          <w:sz w:val="18"/>
          <w:szCs w:val="18"/>
          <w:color w:val="auto"/>
        </w:rPr>
      </w:pPr>
      <w:r>
        <w:rPr>
          <w:rFonts w:ascii="Calibri" w:cs="Calibri" w:eastAsia="Calibri" w:hAnsi="Calibri"/>
          <w:sz w:val="18"/>
          <w:szCs w:val="18"/>
          <w:color w:val="auto"/>
        </w:rPr>
        <w:t>200,000,000 shares of Common Stock, $0.001 par value per share (“Common Stock”) and</w:t>
      </w:r>
    </w:p>
    <w:p>
      <w:pPr>
        <w:spacing w:after="0" w:line="117" w:lineRule="exact"/>
        <w:rPr>
          <w:rFonts w:ascii="Calibri" w:cs="Calibri" w:eastAsia="Calibri" w:hAnsi="Calibri"/>
          <w:sz w:val="18"/>
          <w:szCs w:val="18"/>
          <w:color w:val="auto"/>
        </w:rPr>
      </w:pPr>
    </w:p>
    <w:p>
      <w:pPr>
        <w:ind w:left="1540" w:hanging="533"/>
        <w:spacing w:after="0"/>
        <w:tabs>
          <w:tab w:leader="none" w:pos="1540" w:val="left"/>
        </w:tabs>
        <w:numPr>
          <w:ilvl w:val="1"/>
          <w:numId w:val="3"/>
        </w:numPr>
        <w:rPr>
          <w:rFonts w:ascii="Calibri" w:cs="Calibri" w:eastAsia="Calibri" w:hAnsi="Calibri"/>
          <w:sz w:val="18"/>
          <w:szCs w:val="18"/>
          <w:color w:val="auto"/>
        </w:rPr>
      </w:pPr>
      <w:r>
        <w:rPr>
          <w:rFonts w:ascii="Calibri" w:cs="Calibri" w:eastAsia="Calibri" w:hAnsi="Calibri"/>
          <w:sz w:val="18"/>
          <w:szCs w:val="18"/>
          <w:color w:val="auto"/>
        </w:rPr>
        <w:t>10,000,000 shares of Preferred Stock, $0.001 par value per share (“Preferred Stock”).”</w:t>
      </w:r>
    </w:p>
    <w:p>
      <w:pPr>
        <w:sectPr>
          <w:pgSz w:w="11900" w:h="16838" w:orient="portrait"/>
          <w:cols w:equalWidth="0" w:num="1">
            <w:col w:w="10600"/>
          </w:cols>
          <w:pgMar w:left="860" w:top="112" w:right="439" w:bottom="1440" w:gutter="0" w:footer="0" w:header="0"/>
        </w:sectPr>
      </w:pPr>
    </w:p>
    <w:bookmarkStart w:id="5" w:name="page6"/>
    <w:bookmarkEnd w:id="5"/>
    <w:p>
      <w:pPr>
        <w:ind w:firstLine="440"/>
        <w:spacing w:after="0" w:line="235" w:lineRule="auto"/>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Corporaton has caused this Certfcate of Amendment to be signed by a duly authorized ofcer of the Corporaton on June 9, 2026.</w:t>
      </w:r>
    </w:p>
    <w:p>
      <w:pPr>
        <w:spacing w:after="0" w:line="200" w:lineRule="exact"/>
        <w:rPr>
          <w:sz w:val="20"/>
          <w:szCs w:val="20"/>
          <w:color w:val="auto"/>
        </w:rPr>
      </w:pPr>
    </w:p>
    <w:p>
      <w:pPr>
        <w:spacing w:after="0" w:line="256" w:lineRule="exact"/>
        <w:rPr>
          <w:sz w:val="20"/>
          <w:szCs w:val="20"/>
          <w:color w:val="auto"/>
        </w:rPr>
      </w:pPr>
    </w:p>
    <w:p>
      <w:pPr>
        <w:ind w:left="6620"/>
        <w:spacing w:after="0"/>
        <w:tabs>
          <w:tab w:leader="none" w:pos="6960" w:val="left"/>
        </w:tabs>
        <w:rPr>
          <w:sz w:val="20"/>
          <w:szCs w:val="20"/>
          <w:color w:val="auto"/>
        </w:rPr>
      </w:pP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Richard Fair</w:t>
      </w:r>
    </w:p>
    <w:p>
      <w:pPr>
        <w:spacing w:after="0" w:line="10" w:lineRule="exact"/>
        <w:rPr>
          <w:sz w:val="20"/>
          <w:szCs w:val="20"/>
          <w:color w:val="auto"/>
        </w:rPr>
      </w:pPr>
    </w:p>
    <w:p>
      <w:pPr>
        <w:ind w:left="6980"/>
        <w:spacing w:after="0"/>
        <w:rPr>
          <w:sz w:val="20"/>
          <w:szCs w:val="20"/>
          <w:color w:val="auto"/>
        </w:rPr>
      </w:pPr>
      <w:r>
        <w:rPr>
          <w:rFonts w:ascii="Calibri" w:cs="Calibri" w:eastAsia="Calibri" w:hAnsi="Calibri"/>
          <w:sz w:val="18"/>
          <w:szCs w:val="18"/>
          <w:color w:val="auto"/>
        </w:rPr>
        <w:t>Richard Fair, President and 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-130175</wp:posOffset>
            </wp:positionV>
            <wp:extent cx="2597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sectPr>
      <w:pgSz w:w="11900" w:h="16838" w:orient="portrait"/>
      <w:cols w:equalWidth="0" w:num="1">
        <w:col w:w="10720"/>
      </w:cols>
      <w:pgMar w:left="440" w:top="266"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2026-06-10T05:19:47Z</dcterms:created>
  <dcterms:modified xsi:type="dcterms:W3CDTF">2026-06-10T05:19:47Z</dcterms:modified>
</cp:coreProperties>
</file>