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right"/>
        <w:ind w:right="239"/>
        <w:spacing w:after="0"/>
        <w:rPr>
          <w:sz w:val="20"/>
          <w:szCs w:val="20"/>
          <w:color w:val="auto"/>
        </w:rPr>
      </w:pPr>
      <w:r>
        <w:rPr>
          <w:rFonts w:ascii="Arial" w:cs="Arial" w:eastAsia="Arial" w:hAnsi="Arial"/>
          <w:sz w:val="14"/>
          <w:szCs w:val="14"/>
          <w:b w:val="1"/>
          <w:bCs w:val="1"/>
          <w:color w:val="auto"/>
        </w:rPr>
        <w:t>As Filed Pursuant to Rule 424(b)5</w:t>
      </w:r>
    </w:p>
    <w:p>
      <w:pPr>
        <w:spacing w:after="0" w:line="11" w:lineRule="exact"/>
        <w:rPr>
          <w:sz w:val="24"/>
          <w:szCs w:val="24"/>
          <w:color w:val="auto"/>
        </w:rPr>
      </w:pPr>
    </w:p>
    <w:p>
      <w:pPr>
        <w:jc w:val="right"/>
        <w:ind w:right="239"/>
        <w:spacing w:after="0"/>
        <w:rPr>
          <w:sz w:val="20"/>
          <w:szCs w:val="20"/>
          <w:color w:val="auto"/>
        </w:rPr>
      </w:pPr>
      <w:r>
        <w:rPr>
          <w:rFonts w:ascii="Arial" w:cs="Arial" w:eastAsia="Arial" w:hAnsi="Arial"/>
          <w:sz w:val="14"/>
          <w:szCs w:val="14"/>
          <w:b w:val="1"/>
          <w:bCs w:val="1"/>
          <w:color w:val="auto"/>
        </w:rPr>
        <w:t>Registration No. 333-289582</w:t>
      </w:r>
    </w:p>
    <w:p>
      <w:pPr>
        <w:spacing w:after="0" w:line="18" w:lineRule="exact"/>
        <w:rPr>
          <w:sz w:val="24"/>
          <w:szCs w:val="24"/>
          <w:color w:val="auto"/>
        </w:rPr>
      </w:pPr>
    </w:p>
    <w:p>
      <w:pPr>
        <w:ind w:left="220"/>
        <w:spacing w:after="0"/>
        <w:rPr>
          <w:sz w:val="20"/>
          <w:szCs w:val="20"/>
          <w:color w:val="auto"/>
        </w:rPr>
      </w:pPr>
      <w:r>
        <w:rPr>
          <w:rFonts w:ascii="Arial" w:cs="Arial" w:eastAsia="Arial" w:hAnsi="Arial"/>
          <w:sz w:val="13"/>
          <w:szCs w:val="13"/>
          <w:b w:val="1"/>
          <w:bCs w:val="1"/>
          <w:color w:val="auto"/>
        </w:rPr>
        <w:t>PROSPECTUS SUPPLEMENT</w:t>
      </w:r>
    </w:p>
    <w:p>
      <w:pPr>
        <w:spacing w:after="0" w:line="10" w:lineRule="exact"/>
        <w:rPr>
          <w:sz w:val="24"/>
          <w:szCs w:val="24"/>
          <w:color w:val="auto"/>
        </w:rPr>
      </w:pPr>
    </w:p>
    <w:p>
      <w:pPr>
        <w:ind w:left="220"/>
        <w:spacing w:after="0"/>
        <w:rPr>
          <w:sz w:val="20"/>
          <w:szCs w:val="20"/>
          <w:color w:val="auto"/>
        </w:rPr>
      </w:pPr>
      <w:r>
        <w:rPr>
          <w:rFonts w:ascii="Arial" w:cs="Arial" w:eastAsia="Arial" w:hAnsi="Arial"/>
          <w:sz w:val="13"/>
          <w:szCs w:val="13"/>
          <w:b w:val="1"/>
          <w:bCs w:val="1"/>
          <w:color w:val="auto"/>
        </w:rPr>
        <w:t>(To Prospectus dated August 13, 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2233295</wp:posOffset>
            </wp:positionH>
            <wp:positionV relativeFrom="paragraph">
              <wp:posOffset>-1905</wp:posOffset>
            </wp:positionV>
            <wp:extent cx="1260475" cy="6604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60475" cy="66040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50" w:lineRule="exact"/>
        <w:rPr>
          <w:sz w:val="24"/>
          <w:szCs w:val="24"/>
          <w:color w:val="auto"/>
        </w:rPr>
      </w:pPr>
    </w:p>
    <w:p>
      <w:pPr>
        <w:jc w:val="center"/>
        <w:ind w:right="19"/>
        <w:spacing w:after="0"/>
        <w:rPr>
          <w:sz w:val="20"/>
          <w:szCs w:val="20"/>
          <w:color w:val="auto"/>
        </w:rPr>
      </w:pPr>
      <w:r>
        <w:rPr>
          <w:rFonts w:ascii="Arial" w:cs="Arial" w:eastAsia="Arial" w:hAnsi="Arial"/>
          <w:sz w:val="20"/>
          <w:szCs w:val="20"/>
          <w:b w:val="1"/>
          <w:bCs w:val="1"/>
          <w:color w:val="auto"/>
        </w:rPr>
        <w:t>8,933,334 Shares of Common Stock</w:t>
      </w:r>
    </w:p>
    <w:p>
      <w:pPr>
        <w:spacing w:after="0" w:line="64" w:lineRule="exact"/>
        <w:rPr>
          <w:sz w:val="24"/>
          <w:szCs w:val="24"/>
          <w:color w:val="auto"/>
        </w:rPr>
      </w:pPr>
    </w:p>
    <w:p>
      <w:pPr>
        <w:jc w:val="center"/>
        <w:ind w:right="19"/>
        <w:spacing w:after="0"/>
        <w:rPr>
          <w:sz w:val="20"/>
          <w:szCs w:val="20"/>
          <w:color w:val="auto"/>
        </w:rPr>
      </w:pPr>
      <w:r>
        <w:rPr>
          <w:rFonts w:ascii="Arial" w:cs="Arial" w:eastAsia="Arial" w:hAnsi="Arial"/>
          <w:sz w:val="20"/>
          <w:szCs w:val="20"/>
          <w:b w:val="1"/>
          <w:bCs w:val="1"/>
          <w:color w:val="auto"/>
        </w:rPr>
        <w:t>Pre-Funded Warrants to Purchase 1,733,333 Shares of 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2286635</wp:posOffset>
            </wp:positionH>
            <wp:positionV relativeFrom="paragraph">
              <wp:posOffset>186055</wp:posOffset>
            </wp:positionV>
            <wp:extent cx="1146810" cy="69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146810" cy="6985"/>
                    </a:xfrm>
                    <a:prstGeom prst="rect">
                      <a:avLst/>
                    </a:prstGeom>
                    <a:noFill/>
                  </pic:spPr>
                </pic:pic>
              </a:graphicData>
            </a:graphic>
          </wp:anchor>
        </w:drawing>
      </w:r>
    </w:p>
    <w:p>
      <w:pPr>
        <w:spacing w:after="0" w:line="200" w:lineRule="exact"/>
        <w:rPr>
          <w:sz w:val="24"/>
          <w:szCs w:val="24"/>
          <w:color w:val="auto"/>
        </w:rPr>
      </w:pPr>
    </w:p>
    <w:p>
      <w:pPr>
        <w:spacing w:after="0" w:line="241" w:lineRule="exact"/>
        <w:rPr>
          <w:sz w:val="24"/>
          <w:szCs w:val="24"/>
          <w:color w:val="auto"/>
        </w:rPr>
      </w:pPr>
    </w:p>
    <w:p>
      <w:pPr>
        <w:ind w:left="220" w:right="239"/>
        <w:spacing w:after="0" w:line="241" w:lineRule="auto"/>
        <w:rPr>
          <w:sz w:val="20"/>
          <w:szCs w:val="20"/>
          <w:color w:val="auto"/>
        </w:rPr>
      </w:pPr>
      <w:r>
        <w:rPr>
          <w:rFonts w:ascii="Arial" w:cs="Arial" w:eastAsia="Arial" w:hAnsi="Arial"/>
          <w:sz w:val="13"/>
          <w:szCs w:val="13"/>
          <w:color w:val="auto"/>
        </w:rPr>
        <w:t>We are offering 8,933,334 shares of our common stock and, in lieu of common stock to investors that so choose, pre-funded warrants to purchase up to 1,733,333 shares of our common stock in this offering. The purchase price of each pre-funded warrant will equal the price per share at which shares of our common stock are being sold to the public in this offering, minus $0.001, which will be the exercise price of each pre-funded warrant. Each pre-funded warrant will be exercisable for one share of common stock. The pre-funded warrants do not expire, and each pre-funded warrant will be exercisable at any time after the date of issuance, subject to an ownership limitation. This prospectus supplement also relates to the offering of the shares of our common stock issuable upon the exercise of such pre-funded warrants.</w:t>
      </w:r>
    </w:p>
    <w:p>
      <w:pPr>
        <w:spacing w:after="0" w:line="150" w:lineRule="exact"/>
        <w:rPr>
          <w:sz w:val="24"/>
          <w:szCs w:val="24"/>
          <w:color w:val="auto"/>
        </w:rPr>
      </w:pPr>
    </w:p>
    <w:p>
      <w:pPr>
        <w:ind w:left="220" w:right="299"/>
        <w:spacing w:after="0" w:line="244" w:lineRule="auto"/>
        <w:rPr>
          <w:sz w:val="20"/>
          <w:szCs w:val="20"/>
          <w:color w:val="auto"/>
        </w:rPr>
      </w:pPr>
      <w:r>
        <w:rPr>
          <w:rFonts w:ascii="Arial" w:cs="Arial" w:eastAsia="Arial" w:hAnsi="Arial"/>
          <w:sz w:val="13"/>
          <w:szCs w:val="13"/>
          <w:color w:val="auto"/>
        </w:rPr>
        <w:t>Our common stock is listed on the Nasdaq Global Select Market under the symbol “ELVN.” The last reported sale price of our common stock on the Nasdaq Global Select Market on June 10, 2026 was $37.00 per share. There is no established public trading market for the pre-funded warrants, and we do not expect a market to develop. In addition, we do not intend to list the pre-funded warrants on the Nasdaq Global Select Market or any other national securities exchange or nationally recognized trading system.</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2286635</wp:posOffset>
            </wp:positionH>
            <wp:positionV relativeFrom="paragraph">
              <wp:posOffset>167640</wp:posOffset>
            </wp:positionV>
            <wp:extent cx="1146810" cy="698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146810" cy="6985"/>
                    </a:xfrm>
                    <a:prstGeom prst="rect">
                      <a:avLst/>
                    </a:prstGeom>
                    <a:noFill/>
                  </pic:spPr>
                </pic:pic>
              </a:graphicData>
            </a:graphic>
          </wp:anchor>
        </w:drawing>
      </w:r>
    </w:p>
    <w:p>
      <w:pPr>
        <w:spacing w:after="0" w:line="200" w:lineRule="exact"/>
        <w:rPr>
          <w:sz w:val="24"/>
          <w:szCs w:val="24"/>
          <w:color w:val="auto"/>
        </w:rPr>
      </w:pPr>
    </w:p>
    <w:p>
      <w:pPr>
        <w:spacing w:after="0" w:line="204" w:lineRule="exact"/>
        <w:rPr>
          <w:sz w:val="24"/>
          <w:szCs w:val="24"/>
          <w:color w:val="auto"/>
        </w:rPr>
      </w:pPr>
    </w:p>
    <w:p>
      <w:pPr>
        <w:ind w:left="220" w:right="319"/>
        <w:spacing w:after="0" w:line="251" w:lineRule="auto"/>
        <w:rPr>
          <w:sz w:val="20"/>
          <w:szCs w:val="20"/>
          <w:color w:val="auto"/>
        </w:rPr>
      </w:pPr>
      <w:r>
        <w:rPr>
          <w:rFonts w:ascii="Arial" w:cs="Arial" w:eastAsia="Arial" w:hAnsi="Arial"/>
          <w:sz w:val="15"/>
          <w:szCs w:val="15"/>
          <w:b w:val="1"/>
          <w:bCs w:val="1"/>
          <w:color w:val="auto"/>
        </w:rPr>
        <w:t>Investing in our securities involves risks. Please read “</w:t>
      </w:r>
      <w:r>
        <w:rPr>
          <w:rFonts w:ascii="Arial" w:cs="Arial" w:eastAsia="Arial" w:hAnsi="Arial"/>
          <w:sz w:val="15"/>
          <w:szCs w:val="15"/>
          <w:b w:val="1"/>
          <w:bCs w:val="1"/>
          <w:u w:val="single" w:color="auto"/>
          <w:color w:val="0000EE"/>
        </w:rPr>
        <w:t>Risk Factors</w:t>
      </w:r>
      <w:r>
        <w:rPr>
          <w:rFonts w:ascii="Arial" w:cs="Arial" w:eastAsia="Arial" w:hAnsi="Arial"/>
          <w:sz w:val="15"/>
          <w:szCs w:val="15"/>
          <w:b w:val="1"/>
          <w:bCs w:val="1"/>
          <w:color w:val="auto"/>
        </w:rPr>
        <w:t>” beginning on page S-12 of this prospectus supplement, and under similar headings in the other documents that are filed after the date hereof and incorporated by reference into this prospectus supplement and accompanying prospectus, to read about factors you should consider before you make your investment decision.</w:t>
      </w:r>
    </w:p>
    <w:p>
      <w:pPr>
        <w:spacing w:after="0" w:line="127" w:lineRule="exact"/>
        <w:rPr>
          <w:sz w:val="24"/>
          <w:szCs w:val="24"/>
          <w:color w:val="auto"/>
        </w:rPr>
      </w:pPr>
    </w:p>
    <w:p>
      <w:pPr>
        <w:ind w:left="220" w:right="499"/>
        <w:spacing w:after="0" w:line="314" w:lineRule="auto"/>
        <w:rPr>
          <w:sz w:val="20"/>
          <w:szCs w:val="20"/>
          <w:color w:val="auto"/>
        </w:rPr>
      </w:pPr>
      <w:r>
        <w:rPr>
          <w:rFonts w:ascii="Arial" w:cs="Arial" w:eastAsia="Arial" w:hAnsi="Arial"/>
          <w:sz w:val="12"/>
          <w:szCs w:val="12"/>
          <w:b w:val="1"/>
          <w:bCs w:val="1"/>
          <w:color w:val="auto"/>
        </w:rPr>
        <w:t>Neither the Securities and Exchange Commission nor any state securities commission has approved or disapproved of these securities or passed upon the adequacy or accuracy of this prospectus supplement. Any representation to the contrary is a criminal offense.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2286635</wp:posOffset>
            </wp:positionH>
            <wp:positionV relativeFrom="paragraph">
              <wp:posOffset>144145</wp:posOffset>
            </wp:positionV>
            <wp:extent cx="1146810" cy="698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146810" cy="6985"/>
                    </a:xfrm>
                    <a:prstGeom prst="rect">
                      <a:avLst/>
                    </a:prstGeom>
                    <a:noFill/>
                  </pic:spPr>
                </pic:pic>
              </a:graphicData>
            </a:graphic>
          </wp:anchor>
        </w:drawing>
      </w:r>
    </w:p>
    <w:p>
      <w:pPr>
        <w:spacing w:after="0" w:line="200" w:lineRule="exact"/>
        <w:rPr>
          <w:sz w:val="24"/>
          <w:szCs w:val="24"/>
          <w:color w:val="auto"/>
        </w:rPr>
      </w:pPr>
    </w:p>
    <w:p>
      <w:pPr>
        <w:spacing w:after="0" w:line="221" w:lineRule="exact"/>
        <w:rPr>
          <w:sz w:val="24"/>
          <w:szCs w:val="24"/>
          <w:color w:val="auto"/>
        </w:rPr>
      </w:pPr>
    </w:p>
    <w:tbl>
      <w:tblPr>
        <w:tblLayout w:type="fixed"/>
        <w:tblInd w:w="1080" w:type="dxa"/>
        <w:tblCellMar>
          <w:top w:w="0" w:type="dxa"/>
          <w:left w:w="0" w:type="dxa"/>
          <w:bottom w:w="0" w:type="dxa"/>
          <w:right w:w="0" w:type="dxa"/>
        </w:tblCellMar>
      </w:tblPr>
      <w:tr>
        <w:trPr>
          <w:trHeight w:val="126"/>
        </w:trPr>
        <w:tc>
          <w:tcPr>
            <w:tcW w:w="354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gridSpan w:val="2"/>
          </w:tcPr>
          <w:p>
            <w:pPr>
              <w:jc w:val="center"/>
              <w:ind w:right="440"/>
              <w:spacing w:after="0"/>
              <w:rPr>
                <w:sz w:val="20"/>
                <w:szCs w:val="20"/>
                <w:color w:val="auto"/>
              </w:rPr>
            </w:pPr>
            <w:r>
              <w:rPr>
                <w:rFonts w:ascii="Arial" w:cs="Arial" w:eastAsia="Arial" w:hAnsi="Arial"/>
                <w:sz w:val="11"/>
                <w:szCs w:val="11"/>
                <w:b w:val="1"/>
                <w:bCs w:val="1"/>
                <w:color w:val="auto"/>
              </w:rPr>
              <w:t>Per</w:t>
            </w:r>
          </w:p>
        </w:tc>
        <w:tc>
          <w:tcPr>
            <w:tcW w:w="1200" w:type="dxa"/>
            <w:vAlign w:val="bottom"/>
            <w:gridSpan w:val="3"/>
          </w:tcPr>
          <w:p>
            <w:pPr>
              <w:spacing w:after="0"/>
              <w:rPr>
                <w:sz w:val="20"/>
                <w:szCs w:val="20"/>
                <w:color w:val="auto"/>
              </w:rPr>
            </w:pPr>
            <w:r>
              <w:rPr>
                <w:rFonts w:ascii="Arial" w:cs="Arial" w:eastAsia="Arial" w:hAnsi="Arial"/>
                <w:sz w:val="11"/>
                <w:szCs w:val="11"/>
                <w:b w:val="1"/>
                <w:bCs w:val="1"/>
                <w:color w:val="auto"/>
              </w:rPr>
              <w:t>Per Pre-Funded</w:t>
            </w:r>
          </w:p>
        </w:tc>
        <w:tc>
          <w:tcPr>
            <w:tcW w:w="6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40" w:type="dxa"/>
            <w:vAlign w:val="bottom"/>
          </w:tcPr>
          <w:p>
            <w:pPr>
              <w:spacing w:after="0"/>
              <w:rPr>
                <w:sz w:val="10"/>
                <w:szCs w:val="10"/>
                <w:color w:val="auto"/>
              </w:rPr>
            </w:pPr>
          </w:p>
        </w:tc>
      </w:tr>
      <w:tr>
        <w:trPr>
          <w:trHeight w:val="132"/>
        </w:trPr>
        <w:tc>
          <w:tcPr>
            <w:tcW w:w="35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740" w:type="dxa"/>
            <w:vAlign w:val="bottom"/>
            <w:gridSpan w:val="3"/>
          </w:tcPr>
          <w:p>
            <w:pPr>
              <w:jc w:val="center"/>
              <w:ind w:right="340"/>
              <w:spacing w:after="0"/>
              <w:rPr>
                <w:sz w:val="20"/>
                <w:szCs w:val="20"/>
                <w:color w:val="auto"/>
              </w:rPr>
            </w:pPr>
            <w:r>
              <w:rPr>
                <w:rFonts w:ascii="Arial" w:cs="Arial" w:eastAsia="Arial" w:hAnsi="Arial"/>
                <w:sz w:val="11"/>
                <w:szCs w:val="11"/>
                <w:b w:val="1"/>
                <w:bCs w:val="1"/>
                <w:color w:val="auto"/>
              </w:rPr>
              <w:t>Share</w:t>
            </w:r>
          </w:p>
        </w:tc>
        <w:tc>
          <w:tcPr>
            <w:tcW w:w="140" w:type="dxa"/>
            <w:vAlign w:val="bottom"/>
          </w:tcPr>
          <w:p>
            <w:pPr>
              <w:spacing w:after="0"/>
              <w:rPr>
                <w:sz w:val="11"/>
                <w:szCs w:val="11"/>
                <w:color w:val="auto"/>
              </w:rPr>
            </w:pPr>
          </w:p>
        </w:tc>
        <w:tc>
          <w:tcPr>
            <w:tcW w:w="1060" w:type="dxa"/>
            <w:vAlign w:val="bottom"/>
            <w:gridSpan w:val="2"/>
          </w:tcPr>
          <w:p>
            <w:pPr>
              <w:jc w:val="right"/>
              <w:ind w:right="560"/>
              <w:spacing w:after="0"/>
              <w:rPr>
                <w:sz w:val="20"/>
                <w:szCs w:val="20"/>
                <w:color w:val="auto"/>
              </w:rPr>
            </w:pPr>
            <w:r>
              <w:rPr>
                <w:rFonts w:ascii="Arial" w:cs="Arial" w:eastAsia="Arial" w:hAnsi="Arial"/>
                <w:sz w:val="11"/>
                <w:szCs w:val="11"/>
                <w:b w:val="1"/>
                <w:bCs w:val="1"/>
                <w:color w:val="auto"/>
              </w:rPr>
              <w:t>Warrant</w:t>
            </w:r>
          </w:p>
        </w:tc>
        <w:tc>
          <w:tcPr>
            <w:tcW w:w="60" w:type="dxa"/>
            <w:vAlign w:val="bottom"/>
          </w:tcPr>
          <w:p>
            <w:pPr>
              <w:spacing w:after="0"/>
              <w:rPr>
                <w:sz w:val="11"/>
                <w:szCs w:val="11"/>
                <w:color w:val="auto"/>
              </w:rPr>
            </w:pPr>
          </w:p>
        </w:tc>
        <w:tc>
          <w:tcPr>
            <w:tcW w:w="920" w:type="dxa"/>
            <w:vAlign w:val="bottom"/>
            <w:gridSpan w:val="2"/>
          </w:tcPr>
          <w:p>
            <w:pPr>
              <w:ind w:left="280"/>
              <w:spacing w:after="0"/>
              <w:rPr>
                <w:sz w:val="20"/>
                <w:szCs w:val="20"/>
                <w:color w:val="auto"/>
              </w:rPr>
            </w:pPr>
            <w:r>
              <w:rPr>
                <w:rFonts w:ascii="Arial" w:cs="Arial" w:eastAsia="Arial" w:hAnsi="Arial"/>
                <w:sz w:val="11"/>
                <w:szCs w:val="11"/>
                <w:b w:val="1"/>
                <w:bCs w:val="1"/>
                <w:color w:val="auto"/>
              </w:rPr>
              <w:t>Total</w:t>
            </w:r>
          </w:p>
        </w:tc>
      </w:tr>
      <w:tr>
        <w:trPr>
          <w:trHeight w:val="138"/>
        </w:trPr>
        <w:tc>
          <w:tcPr>
            <w:tcW w:w="3540" w:type="dxa"/>
            <w:vAlign w:val="bottom"/>
            <w:tcBorders>
              <w:top w:val="single" w:sz="8" w:color="CCEEFF"/>
            </w:tcBorders>
            <w:shd w:val="clear" w:color="auto" w:fill="CCEEFF"/>
          </w:tcPr>
          <w:p>
            <w:pPr>
              <w:spacing w:after="0" w:line="138" w:lineRule="exact"/>
              <w:rPr>
                <w:sz w:val="20"/>
                <w:szCs w:val="20"/>
                <w:color w:val="auto"/>
              </w:rPr>
            </w:pPr>
            <w:r>
              <w:rPr>
                <w:rFonts w:ascii="Arial" w:cs="Arial" w:eastAsia="Arial" w:hAnsi="Arial"/>
                <w:sz w:val="13"/>
                <w:szCs w:val="13"/>
                <w:color w:val="auto"/>
              </w:rPr>
              <w:t>Public Offering Price</w:t>
            </w:r>
          </w:p>
        </w:tc>
        <w:tc>
          <w:tcPr>
            <w:tcW w:w="38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320" w:type="dxa"/>
            <w:vAlign w:val="bottom"/>
            <w:tcBorders>
              <w:top w:val="single" w:sz="8" w:color="auto"/>
            </w:tcBorders>
            <w:shd w:val="clear" w:color="auto" w:fill="CCEEFF"/>
          </w:tcPr>
          <w:p>
            <w:pPr>
              <w:jc w:val="right"/>
              <w:spacing w:after="0" w:line="138" w:lineRule="exact"/>
              <w:rPr>
                <w:sz w:val="20"/>
                <w:szCs w:val="20"/>
                <w:color w:val="auto"/>
              </w:rPr>
            </w:pPr>
            <w:r>
              <w:rPr>
                <w:rFonts w:ascii="Arial" w:cs="Arial" w:eastAsia="Arial" w:hAnsi="Arial"/>
                <w:sz w:val="13"/>
                <w:szCs w:val="13"/>
                <w:color w:val="auto"/>
                <w:w w:val="92"/>
              </w:rPr>
              <w:t>37.50</w:t>
            </w:r>
          </w:p>
        </w:tc>
        <w:tc>
          <w:tcPr>
            <w:tcW w:w="34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auto"/>
            </w:tcBorders>
            <w:shd w:val="clear" w:color="auto" w:fill="CCEEFF"/>
          </w:tcPr>
          <w:p>
            <w:pPr>
              <w:spacing w:after="0" w:line="138" w:lineRule="exact"/>
              <w:rPr>
                <w:sz w:val="20"/>
                <w:szCs w:val="20"/>
                <w:color w:val="auto"/>
              </w:rPr>
            </w:pPr>
            <w:r>
              <w:rPr>
                <w:rFonts w:ascii="Arial" w:cs="Arial" w:eastAsia="Arial" w:hAnsi="Arial"/>
                <w:sz w:val="13"/>
                <w:szCs w:val="13"/>
                <w:color w:val="auto"/>
              </w:rPr>
              <w:t>$</w:t>
            </w:r>
          </w:p>
        </w:tc>
        <w:tc>
          <w:tcPr>
            <w:tcW w:w="700" w:type="dxa"/>
            <w:vAlign w:val="bottom"/>
            <w:tcBorders>
              <w:top w:val="single" w:sz="8" w:color="auto"/>
            </w:tcBorders>
            <w:shd w:val="clear" w:color="auto" w:fill="CCEEFF"/>
          </w:tcPr>
          <w:p>
            <w:pPr>
              <w:jc w:val="right"/>
              <w:spacing w:after="0" w:line="138" w:lineRule="exact"/>
              <w:rPr>
                <w:sz w:val="20"/>
                <w:szCs w:val="20"/>
                <w:color w:val="auto"/>
              </w:rPr>
            </w:pPr>
            <w:r>
              <w:rPr>
                <w:rFonts w:ascii="Arial" w:cs="Arial" w:eastAsia="Arial" w:hAnsi="Arial"/>
                <w:sz w:val="13"/>
                <w:szCs w:val="13"/>
                <w:color w:val="auto"/>
              </w:rPr>
              <w:t>37.499</w:t>
            </w:r>
          </w:p>
        </w:tc>
        <w:tc>
          <w:tcPr>
            <w:tcW w:w="36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880" w:type="dxa"/>
            <w:vAlign w:val="bottom"/>
            <w:tcBorders>
              <w:top w:val="single" w:sz="8" w:color="auto"/>
            </w:tcBorders>
            <w:shd w:val="clear" w:color="auto" w:fill="CCEEFF"/>
          </w:tcPr>
          <w:p>
            <w:pPr>
              <w:jc w:val="right"/>
              <w:spacing w:after="0" w:line="138" w:lineRule="exact"/>
              <w:rPr>
                <w:sz w:val="20"/>
                <w:szCs w:val="20"/>
                <w:color w:val="auto"/>
              </w:rPr>
            </w:pPr>
            <w:r>
              <w:rPr>
                <w:rFonts w:ascii="Arial" w:cs="Arial" w:eastAsia="Arial" w:hAnsi="Arial"/>
                <w:sz w:val="13"/>
                <w:szCs w:val="13"/>
                <w:color w:val="auto"/>
                <w:w w:val="95"/>
              </w:rPr>
              <w:t>399,998,279.17</w:t>
            </w:r>
          </w:p>
        </w:tc>
        <w:tc>
          <w:tcPr>
            <w:tcW w:w="40" w:type="dxa"/>
            <w:vAlign w:val="bottom"/>
            <w:tcBorders>
              <w:top w:val="single" w:sz="8" w:color="CCEEFF"/>
            </w:tcBorders>
            <w:shd w:val="clear" w:color="auto" w:fill="CCEEFF"/>
          </w:tcPr>
          <w:p>
            <w:pPr>
              <w:spacing w:after="0"/>
              <w:rPr>
                <w:sz w:val="11"/>
                <w:szCs w:val="11"/>
                <w:color w:val="auto"/>
              </w:rPr>
            </w:pPr>
          </w:p>
        </w:tc>
      </w:tr>
      <w:tr>
        <w:trPr>
          <w:trHeight w:val="147"/>
        </w:trPr>
        <w:tc>
          <w:tcPr>
            <w:tcW w:w="3540" w:type="dxa"/>
            <w:vAlign w:val="bottom"/>
          </w:tcPr>
          <w:p>
            <w:pPr>
              <w:spacing w:after="0" w:line="147" w:lineRule="exact"/>
              <w:rPr>
                <w:sz w:val="20"/>
                <w:szCs w:val="20"/>
                <w:color w:val="auto"/>
              </w:rPr>
            </w:pPr>
            <w:r>
              <w:rPr>
                <w:rFonts w:ascii="Arial" w:cs="Arial" w:eastAsia="Arial" w:hAnsi="Arial"/>
                <w:sz w:val="12"/>
                <w:szCs w:val="12"/>
                <w:color w:val="auto"/>
              </w:rPr>
              <w:t>Underwriting Discounts and Commissions</w:t>
            </w:r>
            <w:r>
              <w:rPr>
                <w:rFonts w:ascii="Arial" w:cs="Arial" w:eastAsia="Arial" w:hAnsi="Arial"/>
                <w:sz w:val="17"/>
                <w:szCs w:val="17"/>
                <w:color w:val="auto"/>
                <w:vertAlign w:val="superscript"/>
              </w:rPr>
              <w:t>(1)</w:t>
            </w:r>
          </w:p>
        </w:tc>
        <w:tc>
          <w:tcPr>
            <w:tcW w:w="460" w:type="dxa"/>
            <w:vAlign w:val="bottom"/>
            <w:gridSpan w:val="2"/>
          </w:tcPr>
          <w:p>
            <w:pPr>
              <w:jc w:val="right"/>
              <w:spacing w:after="0" w:line="148" w:lineRule="exact"/>
              <w:rPr>
                <w:sz w:val="20"/>
                <w:szCs w:val="20"/>
                <w:color w:val="auto"/>
              </w:rPr>
            </w:pPr>
            <w:r>
              <w:rPr>
                <w:rFonts w:ascii="Arial" w:cs="Arial" w:eastAsia="Arial" w:hAnsi="Arial"/>
                <w:sz w:val="13"/>
                <w:szCs w:val="13"/>
                <w:color w:val="auto"/>
              </w:rPr>
              <w:t>$</w:t>
            </w:r>
          </w:p>
        </w:tc>
        <w:tc>
          <w:tcPr>
            <w:tcW w:w="660" w:type="dxa"/>
            <w:vAlign w:val="bottom"/>
            <w:gridSpan w:val="2"/>
          </w:tcPr>
          <w:p>
            <w:pPr>
              <w:jc w:val="right"/>
              <w:ind w:right="340"/>
              <w:spacing w:after="0" w:line="148" w:lineRule="exact"/>
              <w:rPr>
                <w:sz w:val="20"/>
                <w:szCs w:val="20"/>
                <w:color w:val="auto"/>
              </w:rPr>
            </w:pPr>
            <w:r>
              <w:rPr>
                <w:rFonts w:ascii="Arial" w:cs="Arial" w:eastAsia="Arial" w:hAnsi="Arial"/>
                <w:sz w:val="13"/>
                <w:szCs w:val="13"/>
                <w:color w:val="auto"/>
              </w:rPr>
              <w:t>2.25</w:t>
            </w:r>
          </w:p>
        </w:tc>
        <w:tc>
          <w:tcPr>
            <w:tcW w:w="140" w:type="dxa"/>
            <w:vAlign w:val="bottom"/>
          </w:tcPr>
          <w:p>
            <w:pPr>
              <w:spacing w:after="0" w:line="148" w:lineRule="exact"/>
              <w:rPr>
                <w:sz w:val="20"/>
                <w:szCs w:val="20"/>
                <w:color w:val="auto"/>
              </w:rPr>
            </w:pPr>
            <w:r>
              <w:rPr>
                <w:rFonts w:ascii="Arial" w:cs="Arial" w:eastAsia="Arial" w:hAnsi="Arial"/>
                <w:sz w:val="13"/>
                <w:szCs w:val="13"/>
                <w:color w:val="auto"/>
              </w:rPr>
              <w:t>$</w:t>
            </w:r>
          </w:p>
        </w:tc>
        <w:tc>
          <w:tcPr>
            <w:tcW w:w="1060" w:type="dxa"/>
            <w:vAlign w:val="bottom"/>
            <w:gridSpan w:val="2"/>
          </w:tcPr>
          <w:p>
            <w:pPr>
              <w:jc w:val="right"/>
              <w:ind w:right="360"/>
              <w:spacing w:after="0" w:line="148" w:lineRule="exact"/>
              <w:rPr>
                <w:sz w:val="20"/>
                <w:szCs w:val="20"/>
                <w:color w:val="auto"/>
              </w:rPr>
            </w:pPr>
            <w:r>
              <w:rPr>
                <w:rFonts w:ascii="Arial" w:cs="Arial" w:eastAsia="Arial" w:hAnsi="Arial"/>
                <w:sz w:val="13"/>
                <w:szCs w:val="13"/>
                <w:color w:val="auto"/>
              </w:rPr>
              <w:t>2.25</w:t>
            </w:r>
          </w:p>
        </w:tc>
        <w:tc>
          <w:tcPr>
            <w:tcW w:w="60" w:type="dxa"/>
            <w:vAlign w:val="bottom"/>
          </w:tcPr>
          <w:p>
            <w:pPr>
              <w:jc w:val="right"/>
              <w:spacing w:after="0"/>
              <w:rPr>
                <w:sz w:val="20"/>
                <w:szCs w:val="20"/>
                <w:color w:val="auto"/>
              </w:rPr>
            </w:pPr>
            <w:r>
              <w:rPr>
                <w:rFonts w:ascii="Arial" w:cs="Arial" w:eastAsia="Arial" w:hAnsi="Arial"/>
                <w:sz w:val="9"/>
                <w:szCs w:val="9"/>
                <w:color w:val="auto"/>
                <w:w w:val="78"/>
              </w:rPr>
              <w:t>$</w:t>
            </w:r>
          </w:p>
        </w:tc>
        <w:tc>
          <w:tcPr>
            <w:tcW w:w="880" w:type="dxa"/>
            <w:vAlign w:val="bottom"/>
          </w:tcPr>
          <w:p>
            <w:pPr>
              <w:jc w:val="right"/>
              <w:spacing w:after="0" w:line="148" w:lineRule="exact"/>
              <w:rPr>
                <w:sz w:val="20"/>
                <w:szCs w:val="20"/>
                <w:color w:val="auto"/>
              </w:rPr>
            </w:pPr>
            <w:r>
              <w:rPr>
                <w:rFonts w:ascii="Arial" w:cs="Arial" w:eastAsia="Arial" w:hAnsi="Arial"/>
                <w:sz w:val="13"/>
                <w:szCs w:val="13"/>
                <w:color w:val="auto"/>
              </w:rPr>
              <w:t>24,000,000.75</w:t>
            </w:r>
          </w:p>
        </w:tc>
        <w:tc>
          <w:tcPr>
            <w:tcW w:w="40" w:type="dxa"/>
            <w:vAlign w:val="bottom"/>
          </w:tcPr>
          <w:p>
            <w:pPr>
              <w:spacing w:after="0"/>
              <w:rPr>
                <w:sz w:val="12"/>
                <w:szCs w:val="12"/>
                <w:color w:val="auto"/>
              </w:rPr>
            </w:pPr>
          </w:p>
        </w:tc>
      </w:tr>
      <w:tr>
        <w:trPr>
          <w:trHeight w:val="147"/>
        </w:trPr>
        <w:tc>
          <w:tcPr>
            <w:tcW w:w="3540" w:type="dxa"/>
            <w:vAlign w:val="bottom"/>
            <w:shd w:val="clear" w:color="auto" w:fill="CCEEFF"/>
          </w:tcPr>
          <w:p>
            <w:pPr>
              <w:spacing w:after="0" w:line="148" w:lineRule="exact"/>
              <w:rPr>
                <w:sz w:val="20"/>
                <w:szCs w:val="20"/>
                <w:color w:val="auto"/>
              </w:rPr>
            </w:pPr>
            <w:r>
              <w:rPr>
                <w:rFonts w:ascii="Arial" w:cs="Arial" w:eastAsia="Arial" w:hAnsi="Arial"/>
                <w:sz w:val="13"/>
                <w:szCs w:val="13"/>
                <w:color w:val="auto"/>
              </w:rPr>
              <w:t>Proceeds to Enliven Therapeutics, Inc., before expenses</w:t>
            </w:r>
          </w:p>
        </w:tc>
        <w:tc>
          <w:tcPr>
            <w:tcW w:w="460" w:type="dxa"/>
            <w:vAlign w:val="bottom"/>
            <w:gridSpan w:val="2"/>
            <w:shd w:val="clear" w:color="auto" w:fill="CCEEFF"/>
          </w:tcPr>
          <w:p>
            <w:pPr>
              <w:jc w:val="right"/>
              <w:spacing w:after="0" w:line="148" w:lineRule="exact"/>
              <w:rPr>
                <w:sz w:val="20"/>
                <w:szCs w:val="20"/>
                <w:color w:val="auto"/>
              </w:rPr>
            </w:pPr>
            <w:r>
              <w:rPr>
                <w:rFonts w:ascii="Arial" w:cs="Arial" w:eastAsia="Arial" w:hAnsi="Arial"/>
                <w:sz w:val="13"/>
                <w:szCs w:val="13"/>
                <w:color w:val="auto"/>
              </w:rPr>
              <w:t>$</w:t>
            </w:r>
          </w:p>
        </w:tc>
        <w:tc>
          <w:tcPr>
            <w:tcW w:w="660" w:type="dxa"/>
            <w:vAlign w:val="bottom"/>
            <w:gridSpan w:val="2"/>
            <w:shd w:val="clear" w:color="auto" w:fill="CCEEFF"/>
          </w:tcPr>
          <w:p>
            <w:pPr>
              <w:jc w:val="right"/>
              <w:ind w:right="340"/>
              <w:spacing w:after="0" w:line="148" w:lineRule="exact"/>
              <w:rPr>
                <w:sz w:val="20"/>
                <w:szCs w:val="20"/>
                <w:color w:val="auto"/>
              </w:rPr>
            </w:pPr>
            <w:r>
              <w:rPr>
                <w:rFonts w:ascii="Arial" w:cs="Arial" w:eastAsia="Arial" w:hAnsi="Arial"/>
                <w:sz w:val="13"/>
                <w:szCs w:val="13"/>
                <w:color w:val="auto"/>
                <w:w w:val="92"/>
              </w:rPr>
              <w:t>35.25</w:t>
            </w:r>
          </w:p>
        </w:tc>
        <w:tc>
          <w:tcPr>
            <w:tcW w:w="140" w:type="dxa"/>
            <w:vAlign w:val="bottom"/>
            <w:shd w:val="clear" w:color="auto" w:fill="CCEEFF"/>
          </w:tcPr>
          <w:p>
            <w:pPr>
              <w:spacing w:after="0" w:line="148" w:lineRule="exact"/>
              <w:rPr>
                <w:sz w:val="20"/>
                <w:szCs w:val="20"/>
                <w:color w:val="auto"/>
              </w:rPr>
            </w:pPr>
            <w:r>
              <w:rPr>
                <w:rFonts w:ascii="Arial" w:cs="Arial" w:eastAsia="Arial" w:hAnsi="Arial"/>
                <w:sz w:val="13"/>
                <w:szCs w:val="13"/>
                <w:color w:val="auto"/>
              </w:rPr>
              <w:t>$</w:t>
            </w:r>
          </w:p>
        </w:tc>
        <w:tc>
          <w:tcPr>
            <w:tcW w:w="700" w:type="dxa"/>
            <w:vAlign w:val="bottom"/>
            <w:shd w:val="clear" w:color="auto" w:fill="CCEEFF"/>
          </w:tcPr>
          <w:p>
            <w:pPr>
              <w:jc w:val="right"/>
              <w:spacing w:after="0" w:line="148" w:lineRule="exact"/>
              <w:rPr>
                <w:sz w:val="20"/>
                <w:szCs w:val="20"/>
                <w:color w:val="auto"/>
              </w:rPr>
            </w:pPr>
            <w:r>
              <w:rPr>
                <w:rFonts w:ascii="Arial" w:cs="Arial" w:eastAsia="Arial" w:hAnsi="Arial"/>
                <w:sz w:val="13"/>
                <w:szCs w:val="13"/>
                <w:color w:val="auto"/>
              </w:rPr>
              <w:t>35.249</w:t>
            </w:r>
          </w:p>
        </w:tc>
        <w:tc>
          <w:tcPr>
            <w:tcW w:w="360" w:type="dxa"/>
            <w:vAlign w:val="bottom"/>
            <w:shd w:val="clear" w:color="auto" w:fill="CCEEFF"/>
          </w:tcPr>
          <w:p>
            <w:pPr>
              <w:spacing w:after="0"/>
              <w:rPr>
                <w:sz w:val="12"/>
                <w:szCs w:val="12"/>
                <w:color w:val="auto"/>
              </w:rPr>
            </w:pPr>
          </w:p>
        </w:tc>
        <w:tc>
          <w:tcPr>
            <w:tcW w:w="60" w:type="dxa"/>
            <w:vAlign w:val="bottom"/>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880" w:type="dxa"/>
            <w:vAlign w:val="bottom"/>
            <w:shd w:val="clear" w:color="auto" w:fill="CCEEFF"/>
          </w:tcPr>
          <w:p>
            <w:pPr>
              <w:jc w:val="right"/>
              <w:spacing w:after="0" w:line="148" w:lineRule="exact"/>
              <w:rPr>
                <w:sz w:val="20"/>
                <w:szCs w:val="20"/>
                <w:color w:val="auto"/>
              </w:rPr>
            </w:pPr>
            <w:r>
              <w:rPr>
                <w:rFonts w:ascii="Arial" w:cs="Arial" w:eastAsia="Arial" w:hAnsi="Arial"/>
                <w:sz w:val="13"/>
                <w:szCs w:val="13"/>
                <w:color w:val="auto"/>
                <w:w w:val="95"/>
              </w:rPr>
              <w:t>375,998,278.42</w:t>
            </w:r>
          </w:p>
        </w:tc>
        <w:tc>
          <w:tcPr>
            <w:tcW w:w="40" w:type="dxa"/>
            <w:vAlign w:val="bottom"/>
            <w:shd w:val="clear" w:color="auto" w:fill="CCEEFF"/>
          </w:tcPr>
          <w:p>
            <w:pPr>
              <w:spacing w:after="0"/>
              <w:rPr>
                <w:sz w:val="12"/>
                <w:szCs w:val="12"/>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139065</wp:posOffset>
            </wp:positionH>
            <wp:positionV relativeFrom="paragraph">
              <wp:posOffset>73660</wp:posOffset>
            </wp:positionV>
            <wp:extent cx="600075" cy="698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00075" cy="6985"/>
                    </a:xfrm>
                    <a:prstGeom prst="rect">
                      <a:avLst/>
                    </a:prstGeom>
                    <a:noFill/>
                  </pic:spPr>
                </pic:pic>
              </a:graphicData>
            </a:graphic>
          </wp:anchor>
        </w:drawing>
      </w:r>
    </w:p>
    <w:p>
      <w:pPr>
        <w:spacing w:after="0" w:line="127" w:lineRule="exact"/>
        <w:rPr>
          <w:sz w:val="24"/>
          <w:szCs w:val="24"/>
          <w:color w:val="auto"/>
        </w:rPr>
      </w:pPr>
    </w:p>
    <w:p>
      <w:pPr>
        <w:ind w:left="220" w:right="2299" w:hanging="1"/>
        <w:spacing w:after="0" w:line="548" w:lineRule="auto"/>
        <w:tabs>
          <w:tab w:leader="none" w:pos="556" w:val="left"/>
        </w:tabs>
        <w:numPr>
          <w:ilvl w:val="0"/>
          <w:numId w:val="1"/>
        </w:numPr>
        <w:rPr>
          <w:rFonts w:ascii="Arial" w:cs="Arial" w:eastAsia="Arial" w:hAnsi="Arial"/>
          <w:sz w:val="12"/>
          <w:szCs w:val="12"/>
          <w:color w:val="auto"/>
        </w:rPr>
      </w:pPr>
      <w:r>
        <w:rPr>
          <w:rFonts w:ascii="Arial" w:cs="Arial" w:eastAsia="Arial" w:hAnsi="Arial"/>
          <w:sz w:val="12"/>
          <w:szCs w:val="12"/>
          <w:color w:val="auto"/>
        </w:rPr>
        <w:t>See “Underwriting” beginning on page S-28 for additional information regarding underwriter compensation. Delivery of the shares of common stock and pre-funded warrants is expected to be made on or about June 15, 2026.</w:t>
      </w:r>
    </w:p>
    <w:p>
      <w:pPr>
        <w:ind w:left="220" w:right="379"/>
        <w:spacing w:after="0" w:line="262" w:lineRule="auto"/>
        <w:rPr>
          <w:sz w:val="20"/>
          <w:szCs w:val="20"/>
          <w:color w:val="auto"/>
        </w:rPr>
      </w:pPr>
      <w:r>
        <w:rPr>
          <w:rFonts w:ascii="Arial" w:cs="Arial" w:eastAsia="Arial" w:hAnsi="Arial"/>
          <w:sz w:val="13"/>
          <w:szCs w:val="13"/>
          <w:color w:val="auto"/>
        </w:rPr>
        <w:t>We have granted the underwriters an option for a period of 30 days to purchase up to an additional 1,600,000 shares of our common stock at the public offering price less underwriting discounts and commissions.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2286635</wp:posOffset>
            </wp:positionH>
            <wp:positionV relativeFrom="paragraph">
              <wp:posOffset>159385</wp:posOffset>
            </wp:positionV>
            <wp:extent cx="1146810" cy="698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146810" cy="6985"/>
                    </a:xfrm>
                    <a:prstGeom prst="rect">
                      <a:avLst/>
                    </a:prstGeom>
                    <a:noFill/>
                  </pic:spPr>
                </pic:pic>
              </a:graphicData>
            </a:graphic>
          </wp:anchor>
        </w:drawing>
      </w:r>
    </w:p>
    <w:p>
      <w:pPr>
        <w:spacing w:after="0" w:line="200" w:lineRule="exact"/>
        <w:rPr>
          <w:sz w:val="24"/>
          <w:szCs w:val="24"/>
          <w:color w:val="auto"/>
        </w:rPr>
      </w:pPr>
    </w:p>
    <w:p>
      <w:pPr>
        <w:spacing w:after="0" w:line="201" w:lineRule="exact"/>
        <w:rPr>
          <w:sz w:val="24"/>
          <w:szCs w:val="24"/>
          <w:color w:val="auto"/>
        </w:rPr>
      </w:pPr>
    </w:p>
    <w:p>
      <w:pPr>
        <w:jc w:val="center"/>
        <w:ind w:right="19"/>
        <w:spacing w:after="0"/>
        <w:rPr>
          <w:sz w:val="20"/>
          <w:szCs w:val="20"/>
          <w:color w:val="auto"/>
        </w:rPr>
      </w:pPr>
      <w:r>
        <w:rPr>
          <w:rFonts w:ascii="Arial" w:cs="Arial" w:eastAsia="Arial" w:hAnsi="Arial"/>
          <w:sz w:val="13"/>
          <w:szCs w:val="13"/>
          <w:b w:val="1"/>
          <w:bCs w:val="1"/>
          <w:i w:val="1"/>
          <w:iCs w:val="1"/>
          <w:color w:val="auto"/>
        </w:rPr>
        <w:t>Joint Book-Running Managers</w:t>
      </w:r>
    </w:p>
    <w:p>
      <w:pPr>
        <w:spacing w:after="0" w:line="174" w:lineRule="exact"/>
        <w:rPr>
          <w:sz w:val="24"/>
          <w:szCs w:val="24"/>
          <w:color w:val="auto"/>
        </w:rPr>
      </w:pPr>
    </w:p>
    <w:p>
      <w:pPr>
        <w:ind w:left="220"/>
        <w:spacing w:after="0"/>
        <w:tabs>
          <w:tab w:leader="none" w:pos="1500" w:val="left"/>
          <w:tab w:leader="none" w:pos="4600" w:val="left"/>
          <w:tab w:leader="none" w:pos="6720" w:val="left"/>
          <w:tab w:leader="none" w:pos="8200" w:val="left"/>
        </w:tabs>
        <w:rPr>
          <w:sz w:val="20"/>
          <w:szCs w:val="20"/>
          <w:color w:val="auto"/>
        </w:rPr>
      </w:pPr>
      <w:r>
        <w:rPr>
          <w:rFonts w:ascii="Arial" w:cs="Arial" w:eastAsia="Arial" w:hAnsi="Arial"/>
          <w:sz w:val="17"/>
          <w:szCs w:val="17"/>
          <w:b w:val="1"/>
          <w:bCs w:val="1"/>
          <w:color w:val="auto"/>
        </w:rPr>
        <w:t>Jefferies</w:t>
      </w:r>
      <w:r>
        <w:rPr>
          <w:sz w:val="20"/>
          <w:szCs w:val="20"/>
          <w:color w:val="auto"/>
        </w:rPr>
        <w:tab/>
      </w:r>
      <w:r>
        <w:rPr>
          <w:rFonts w:ascii="Arial" w:cs="Arial" w:eastAsia="Arial" w:hAnsi="Arial"/>
          <w:sz w:val="17"/>
          <w:szCs w:val="17"/>
          <w:b w:val="1"/>
          <w:bCs w:val="1"/>
          <w:color w:val="auto"/>
        </w:rPr>
        <w:t>Goldman Sachs &amp; Co. LLC</w:t>
      </w:r>
      <w:r>
        <w:rPr>
          <w:sz w:val="20"/>
          <w:szCs w:val="20"/>
          <w:color w:val="auto"/>
        </w:rPr>
        <w:tab/>
      </w:r>
      <w:r>
        <w:rPr>
          <w:rFonts w:ascii="Arial" w:cs="Arial" w:eastAsia="Arial" w:hAnsi="Arial"/>
          <w:sz w:val="17"/>
          <w:szCs w:val="17"/>
          <w:b w:val="1"/>
          <w:bCs w:val="1"/>
          <w:color w:val="auto"/>
        </w:rPr>
        <w:t>Morgan Stanley</w:t>
      </w:r>
      <w:r>
        <w:rPr>
          <w:sz w:val="20"/>
          <w:szCs w:val="20"/>
          <w:color w:val="auto"/>
        </w:rPr>
        <w:tab/>
      </w:r>
      <w:r>
        <w:rPr>
          <w:rFonts w:ascii="Arial" w:cs="Arial" w:eastAsia="Arial" w:hAnsi="Arial"/>
          <w:sz w:val="17"/>
          <w:szCs w:val="17"/>
          <w:b w:val="1"/>
          <w:bCs w:val="1"/>
          <w:color w:val="auto"/>
        </w:rPr>
        <w:t>Barclays</w:t>
      </w:r>
      <w:r>
        <w:rPr>
          <w:sz w:val="20"/>
          <w:szCs w:val="20"/>
          <w:color w:val="auto"/>
        </w:rPr>
        <w:tab/>
      </w:r>
      <w:r>
        <w:rPr>
          <w:rFonts w:ascii="Arial" w:cs="Arial" w:eastAsia="Arial" w:hAnsi="Arial"/>
          <w:sz w:val="16"/>
          <w:szCs w:val="16"/>
          <w:b w:val="1"/>
          <w:bCs w:val="1"/>
          <w:color w:val="auto"/>
        </w:rPr>
        <w:t>Mizuho</w:t>
      </w:r>
    </w:p>
    <w:p>
      <w:pPr>
        <w:spacing w:after="0" w:line="174" w:lineRule="exact"/>
        <w:rPr>
          <w:sz w:val="24"/>
          <w:szCs w:val="24"/>
          <w:color w:val="auto"/>
        </w:rPr>
      </w:pPr>
    </w:p>
    <w:p>
      <w:pPr>
        <w:jc w:val="center"/>
        <w:ind w:right="19"/>
        <w:spacing w:after="0"/>
        <w:rPr>
          <w:sz w:val="20"/>
          <w:szCs w:val="20"/>
          <w:color w:val="auto"/>
        </w:rPr>
      </w:pPr>
      <w:r>
        <w:rPr>
          <w:rFonts w:ascii="Arial" w:cs="Arial" w:eastAsia="Arial" w:hAnsi="Arial"/>
          <w:sz w:val="13"/>
          <w:szCs w:val="13"/>
          <w:b w:val="1"/>
          <w:bCs w:val="1"/>
          <w:i w:val="1"/>
          <w:iCs w:val="1"/>
          <w:color w:val="auto"/>
        </w:rPr>
        <w:t>Passive Book-Running Manager</w:t>
      </w:r>
    </w:p>
    <w:p>
      <w:pPr>
        <w:spacing w:after="0" w:line="180"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LifeSci Capital</w:t>
      </w:r>
    </w:p>
    <w:p>
      <w:pPr>
        <w:spacing w:after="0" w:line="171" w:lineRule="exact"/>
        <w:rPr>
          <w:sz w:val="24"/>
          <w:szCs w:val="24"/>
          <w:color w:val="auto"/>
        </w:rPr>
      </w:pPr>
    </w:p>
    <w:p>
      <w:pPr>
        <w:jc w:val="center"/>
        <w:ind w:right="19"/>
        <w:spacing w:after="0"/>
        <w:rPr>
          <w:sz w:val="20"/>
          <w:szCs w:val="20"/>
          <w:color w:val="auto"/>
        </w:rPr>
      </w:pPr>
      <w:r>
        <w:rPr>
          <w:rFonts w:ascii="Arial" w:cs="Arial" w:eastAsia="Arial" w:hAnsi="Arial"/>
          <w:sz w:val="13"/>
          <w:szCs w:val="13"/>
          <w:b w:val="1"/>
          <w:bCs w:val="1"/>
          <w:i w:val="1"/>
          <w:iCs w:val="1"/>
          <w:color w:val="auto"/>
        </w:rPr>
        <w:t>Lead Manager</w:t>
      </w:r>
    </w:p>
    <w:p>
      <w:pPr>
        <w:spacing w:after="0" w:line="180"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Baird</w:t>
      </w:r>
    </w:p>
    <w:p>
      <w:pPr>
        <w:spacing w:after="0" w:line="171" w:lineRule="exact"/>
        <w:rPr>
          <w:sz w:val="24"/>
          <w:szCs w:val="24"/>
          <w:color w:val="auto"/>
        </w:rPr>
      </w:pPr>
    </w:p>
    <w:p>
      <w:pPr>
        <w:jc w:val="center"/>
        <w:ind w:right="19"/>
        <w:spacing w:after="0"/>
        <w:rPr>
          <w:sz w:val="20"/>
          <w:szCs w:val="20"/>
          <w:color w:val="auto"/>
        </w:rPr>
      </w:pPr>
      <w:r>
        <w:rPr>
          <w:rFonts w:ascii="Arial" w:cs="Arial" w:eastAsia="Arial" w:hAnsi="Arial"/>
          <w:sz w:val="13"/>
          <w:szCs w:val="13"/>
          <w:b w:val="1"/>
          <w:bCs w:val="1"/>
          <w:i w:val="1"/>
          <w:iCs w:val="1"/>
          <w:color w:val="auto"/>
        </w:rPr>
        <w:t>Manager</w:t>
      </w:r>
    </w:p>
    <w:p>
      <w:pPr>
        <w:spacing w:after="0" w:line="180"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Jones</w:t>
      </w:r>
    </w:p>
    <w:p>
      <w:pPr>
        <w:spacing w:after="0" w:line="165" w:lineRule="exact"/>
        <w:rPr>
          <w:sz w:val="24"/>
          <w:szCs w:val="24"/>
          <w:color w:val="auto"/>
        </w:rPr>
      </w:pPr>
    </w:p>
    <w:p>
      <w:pPr>
        <w:jc w:val="center"/>
        <w:ind w:right="19"/>
        <w:spacing w:after="0"/>
        <w:rPr>
          <w:sz w:val="20"/>
          <w:szCs w:val="20"/>
          <w:color w:val="auto"/>
        </w:rPr>
      </w:pPr>
      <w:r>
        <w:rPr>
          <w:rFonts w:ascii="Arial" w:cs="Arial" w:eastAsia="Arial" w:hAnsi="Arial"/>
          <w:sz w:val="14"/>
          <w:szCs w:val="14"/>
          <w:color w:val="auto"/>
        </w:rPr>
        <w:t>Prospectus Supplement dated June 11, 2026</w:t>
      </w:r>
    </w:p>
    <w:p>
      <w:pPr>
        <w:sectPr>
          <w:pgSz w:w="11900" w:h="16838" w:orient="portrait"/>
          <w:cols w:equalWidth="0" w:num="1">
            <w:col w:w="9019"/>
          </w:cols>
          <w:pgMar w:left="1440" w:top="209" w:right="1440" w:bottom="1440" w:gutter="0" w:footer="0" w:header="0"/>
        </w:sectPr>
      </w:pPr>
    </w:p>
    <w:bookmarkStart w:id="1" w:name="page2"/>
    <w:bookmarkEnd w:id="1"/>
    <w:p>
      <w:pPr>
        <w:spacing w:after="0" w:line="336" w:lineRule="exact"/>
        <w:rPr>
          <w:sz w:val="20"/>
          <w:szCs w:val="20"/>
          <w:color w:val="auto"/>
        </w:rPr>
      </w:pPr>
    </w:p>
    <w:p>
      <w:pPr>
        <w:ind w:left="220"/>
        <w:spacing w:after="0"/>
        <w:rPr>
          <w:sz w:val="20"/>
          <w:szCs w:val="20"/>
          <w:color w:val="auto"/>
        </w:rPr>
      </w:pPr>
      <w:r>
        <w:rPr>
          <w:rFonts w:ascii="Calibri" w:cs="Calibri" w:eastAsia="Calibri" w:hAnsi="Calibri"/>
          <w:sz w:val="14"/>
          <w:szCs w:val="14"/>
          <w:b w:val="1"/>
          <w:bCs w:val="1"/>
          <w:color w:val="auto"/>
        </w:rPr>
        <w:t>Prospectus Supplement</w:t>
      </w:r>
    </w:p>
    <w:p>
      <w:pPr>
        <w:spacing w:after="0" w:line="337" w:lineRule="exact"/>
        <w:rPr>
          <w:sz w:val="20"/>
          <w:szCs w:val="20"/>
          <w:color w:val="auto"/>
        </w:rPr>
      </w:pPr>
    </w:p>
    <w:p>
      <w:pPr>
        <w:ind w:left="220" w:right="1180"/>
        <w:spacing w:after="0" w:line="254" w:lineRule="auto"/>
        <w:rPr>
          <w:sz w:val="20"/>
          <w:szCs w:val="20"/>
          <w:color w:val="auto"/>
        </w:rPr>
      </w:pPr>
      <w:r>
        <w:rPr>
          <w:rFonts w:ascii="Calibri" w:cs="Calibri" w:eastAsia="Calibri" w:hAnsi="Calibri"/>
          <w:sz w:val="13"/>
          <w:szCs w:val="13"/>
          <w:u w:val="single" w:color="auto"/>
          <w:color w:val="0000EE"/>
        </w:rPr>
        <w:t>ABOUT THIS PROSPECTUS SUPPLEMENT MARKET, INDUSTRY, AND OTHER DATA</w:t>
      </w:r>
    </w:p>
    <w:p>
      <w:pPr>
        <w:ind w:left="220"/>
        <w:spacing w:after="0" w:line="235" w:lineRule="auto"/>
        <w:rPr>
          <w:sz w:val="20"/>
          <w:szCs w:val="20"/>
          <w:color w:val="auto"/>
        </w:rPr>
      </w:pPr>
      <w:r>
        <w:rPr>
          <w:rFonts w:ascii="Calibri" w:cs="Calibri" w:eastAsia="Calibri" w:hAnsi="Calibri"/>
          <w:sz w:val="14"/>
          <w:szCs w:val="14"/>
          <w:u w:val="single" w:color="auto"/>
          <w:color w:val="0000EE"/>
        </w:rPr>
        <w:t>SPECIAL NOTE REGARDING FORWARD-LOOKING STATEMENTS PROSPECTUS SUPPLEMENT SUMMARY THE OFFERING</w:t>
      </w:r>
    </w:p>
    <w:p>
      <w:pPr>
        <w:ind w:left="220"/>
        <w:spacing w:after="0" w:line="237" w:lineRule="auto"/>
        <w:rPr>
          <w:sz w:val="20"/>
          <w:szCs w:val="20"/>
          <w:color w:val="auto"/>
        </w:rPr>
      </w:pPr>
      <w:r>
        <w:rPr>
          <w:rFonts w:ascii="Calibri" w:cs="Calibri" w:eastAsia="Calibri" w:hAnsi="Calibri"/>
          <w:sz w:val="14"/>
          <w:szCs w:val="14"/>
          <w:u w:val="single" w:color="auto"/>
          <w:color w:val="0000EE"/>
        </w:rPr>
        <w:t>RISK FACTORS</w:t>
      </w:r>
    </w:p>
    <w:p>
      <w:pPr>
        <w:ind w:left="220"/>
        <w:spacing w:after="0" w:line="236" w:lineRule="auto"/>
        <w:rPr>
          <w:sz w:val="20"/>
          <w:szCs w:val="20"/>
          <w:color w:val="auto"/>
        </w:rPr>
      </w:pPr>
      <w:r>
        <w:rPr>
          <w:rFonts w:ascii="Calibri" w:cs="Calibri" w:eastAsia="Calibri" w:hAnsi="Calibri"/>
          <w:sz w:val="14"/>
          <w:szCs w:val="14"/>
          <w:u w:val="single" w:color="auto"/>
          <w:color w:val="0000EE"/>
        </w:rPr>
        <w:t>DESCRIPTION OF PRE-FUNDED WARRANTS</w:t>
      </w:r>
    </w:p>
    <w:p>
      <w:pPr>
        <w:ind w:left="220"/>
        <w:spacing w:after="0" w:line="236" w:lineRule="auto"/>
        <w:rPr>
          <w:sz w:val="20"/>
          <w:szCs w:val="20"/>
          <w:color w:val="auto"/>
        </w:rPr>
      </w:pPr>
      <w:r>
        <w:rPr>
          <w:rFonts w:ascii="Calibri" w:cs="Calibri" w:eastAsia="Calibri" w:hAnsi="Calibri"/>
          <w:sz w:val="14"/>
          <w:szCs w:val="14"/>
          <w:u w:val="single" w:color="auto"/>
          <w:color w:val="0000EE"/>
        </w:rPr>
        <w:t>USE OF PROCEEDS</w:t>
      </w:r>
    </w:p>
    <w:p>
      <w:pPr>
        <w:ind w:left="220"/>
        <w:spacing w:after="0" w:line="236" w:lineRule="auto"/>
        <w:rPr>
          <w:sz w:val="20"/>
          <w:szCs w:val="20"/>
          <w:color w:val="auto"/>
        </w:rPr>
      </w:pPr>
      <w:r>
        <w:rPr>
          <w:rFonts w:ascii="Calibri" w:cs="Calibri" w:eastAsia="Calibri" w:hAnsi="Calibri"/>
          <w:sz w:val="14"/>
          <w:szCs w:val="14"/>
          <w:u w:val="single" w:color="auto"/>
          <w:color w:val="0000EE"/>
        </w:rPr>
        <w:t>DIVIDEND POLICY</w:t>
      </w:r>
    </w:p>
    <w:p>
      <w:pPr>
        <w:ind w:left="220"/>
        <w:spacing w:after="0" w:line="236" w:lineRule="auto"/>
        <w:rPr>
          <w:sz w:val="20"/>
          <w:szCs w:val="20"/>
          <w:color w:val="auto"/>
        </w:rPr>
      </w:pPr>
      <w:r>
        <w:rPr>
          <w:rFonts w:ascii="Calibri" w:cs="Calibri" w:eastAsia="Calibri" w:hAnsi="Calibri"/>
          <w:sz w:val="14"/>
          <w:szCs w:val="14"/>
          <w:u w:val="single" w:color="auto"/>
          <w:color w:val="0000EE"/>
        </w:rPr>
        <w:t>DILUTION</w:t>
      </w:r>
    </w:p>
    <w:p>
      <w:pPr>
        <w:ind w:left="220"/>
        <w:spacing w:after="0" w:line="236" w:lineRule="auto"/>
        <w:rPr>
          <w:sz w:val="20"/>
          <w:szCs w:val="20"/>
          <w:color w:val="auto"/>
        </w:rPr>
      </w:pPr>
      <w:r>
        <w:rPr>
          <w:rFonts w:ascii="Calibri" w:cs="Calibri" w:eastAsia="Calibri" w:hAnsi="Calibri"/>
          <w:sz w:val="14"/>
          <w:szCs w:val="14"/>
          <w:u w:val="single" w:color="auto"/>
          <w:color w:val="0000EE"/>
        </w:rPr>
        <w:t>MATERIAL U.S. FEDERAL INCOME TAX CONSEQUENCES</w:t>
      </w:r>
    </w:p>
    <w:p>
      <w:pPr>
        <w:ind w:left="220"/>
        <w:spacing w:after="0" w:line="236" w:lineRule="auto"/>
        <w:rPr>
          <w:sz w:val="20"/>
          <w:szCs w:val="20"/>
          <w:color w:val="auto"/>
        </w:rPr>
      </w:pPr>
      <w:r>
        <w:rPr>
          <w:rFonts w:ascii="Calibri" w:cs="Calibri" w:eastAsia="Calibri" w:hAnsi="Calibri"/>
          <w:sz w:val="14"/>
          <w:szCs w:val="14"/>
          <w:u w:val="single" w:color="auto"/>
          <w:color w:val="0000EE"/>
        </w:rPr>
        <w:t>UNDERWRITING</w:t>
      </w:r>
    </w:p>
    <w:p>
      <w:pPr>
        <w:ind w:left="220"/>
        <w:spacing w:after="0" w:line="236" w:lineRule="auto"/>
        <w:rPr>
          <w:sz w:val="20"/>
          <w:szCs w:val="20"/>
          <w:color w:val="auto"/>
        </w:rPr>
      </w:pPr>
      <w:r>
        <w:rPr>
          <w:rFonts w:ascii="Calibri" w:cs="Calibri" w:eastAsia="Calibri" w:hAnsi="Calibri"/>
          <w:sz w:val="14"/>
          <w:szCs w:val="14"/>
          <w:u w:val="single" w:color="auto"/>
          <w:color w:val="0000EE"/>
        </w:rPr>
        <w:t>LEGAL MATTERS</w:t>
      </w:r>
    </w:p>
    <w:p>
      <w:pPr>
        <w:ind w:left="220"/>
        <w:spacing w:after="0" w:line="236" w:lineRule="auto"/>
        <w:rPr>
          <w:sz w:val="20"/>
          <w:szCs w:val="20"/>
          <w:color w:val="auto"/>
        </w:rPr>
      </w:pPr>
      <w:r>
        <w:rPr>
          <w:rFonts w:ascii="Calibri" w:cs="Calibri" w:eastAsia="Calibri" w:hAnsi="Calibri"/>
          <w:sz w:val="14"/>
          <w:szCs w:val="14"/>
          <w:u w:val="single" w:color="auto"/>
          <w:color w:val="0000EE"/>
        </w:rPr>
        <w:t>EXPERTS</w:t>
      </w:r>
    </w:p>
    <w:p>
      <w:pPr>
        <w:spacing w:after="0" w:line="1" w:lineRule="exact"/>
        <w:rPr>
          <w:sz w:val="20"/>
          <w:szCs w:val="20"/>
          <w:color w:val="auto"/>
        </w:rPr>
      </w:pPr>
    </w:p>
    <w:p>
      <w:pPr>
        <w:ind w:left="220" w:right="100"/>
        <w:spacing w:after="0" w:line="266" w:lineRule="auto"/>
        <w:rPr>
          <w:sz w:val="20"/>
          <w:szCs w:val="20"/>
          <w:color w:val="auto"/>
        </w:rPr>
      </w:pPr>
      <w:r>
        <w:rPr>
          <w:rFonts w:ascii="Calibri" w:cs="Calibri" w:eastAsia="Calibri" w:hAnsi="Calibri"/>
          <w:sz w:val="13"/>
          <w:szCs w:val="13"/>
          <w:u w:val="single" w:color="auto"/>
          <w:color w:val="0000EE"/>
        </w:rPr>
        <w:t>WHERE YOU CAN FIND MORE INFORMATION INCORPORATION OF CERTAIN INFORMATION BY REFERENCE</w:t>
      </w:r>
    </w:p>
    <w:p>
      <w:pPr>
        <w:spacing w:after="0" w:line="148" w:lineRule="exact"/>
        <w:rPr>
          <w:sz w:val="20"/>
          <w:szCs w:val="20"/>
          <w:color w:val="auto"/>
        </w:rPr>
      </w:pPr>
    </w:p>
    <w:p>
      <w:pPr>
        <w:ind w:left="220"/>
        <w:spacing w:after="0"/>
        <w:rPr>
          <w:sz w:val="20"/>
          <w:szCs w:val="20"/>
          <w:color w:val="auto"/>
        </w:rPr>
      </w:pPr>
      <w:r>
        <w:rPr>
          <w:rFonts w:ascii="Calibri" w:cs="Calibri" w:eastAsia="Calibri" w:hAnsi="Calibri"/>
          <w:sz w:val="14"/>
          <w:szCs w:val="14"/>
          <w:b w:val="1"/>
          <w:bCs w:val="1"/>
          <w:color w:val="auto"/>
        </w:rPr>
        <w:t>Prospectus</w:t>
      </w:r>
    </w:p>
    <w:p>
      <w:pPr>
        <w:spacing w:after="0" w:line="333" w:lineRule="exact"/>
        <w:rPr>
          <w:sz w:val="20"/>
          <w:szCs w:val="20"/>
          <w:color w:val="auto"/>
        </w:rPr>
      </w:pPr>
    </w:p>
    <w:p>
      <w:pPr>
        <w:ind w:left="220"/>
        <w:spacing w:after="0"/>
        <w:rPr>
          <w:sz w:val="20"/>
          <w:szCs w:val="20"/>
          <w:color w:val="auto"/>
        </w:rPr>
      </w:pPr>
      <w:r>
        <w:rPr>
          <w:rFonts w:ascii="Calibri" w:cs="Calibri" w:eastAsia="Calibri" w:hAnsi="Calibri"/>
          <w:sz w:val="14"/>
          <w:szCs w:val="14"/>
          <w:u w:val="single" w:color="auto"/>
          <w:color w:val="0000EE"/>
        </w:rPr>
        <w:t>ABOUT THIS PROSPECTUS</w:t>
      </w:r>
    </w:p>
    <w:p>
      <w:pPr>
        <w:ind w:left="220"/>
        <w:spacing w:after="0" w:line="235" w:lineRule="auto"/>
        <w:rPr>
          <w:sz w:val="20"/>
          <w:szCs w:val="20"/>
          <w:color w:val="auto"/>
        </w:rPr>
      </w:pPr>
      <w:r>
        <w:rPr>
          <w:rFonts w:ascii="Calibri" w:cs="Calibri" w:eastAsia="Calibri" w:hAnsi="Calibri"/>
          <w:sz w:val="14"/>
          <w:szCs w:val="14"/>
          <w:u w:val="single" w:color="auto"/>
          <w:color w:val="0000EE"/>
        </w:rPr>
        <w:t>PROSPECTUS SUMMARY</w:t>
      </w:r>
    </w:p>
    <w:p>
      <w:pPr>
        <w:ind w:left="220"/>
        <w:spacing w:after="0" w:line="236" w:lineRule="auto"/>
        <w:rPr>
          <w:sz w:val="20"/>
          <w:szCs w:val="20"/>
          <w:color w:val="auto"/>
        </w:rPr>
      </w:pPr>
      <w:r>
        <w:rPr>
          <w:rFonts w:ascii="Calibri" w:cs="Calibri" w:eastAsia="Calibri" w:hAnsi="Calibri"/>
          <w:sz w:val="14"/>
          <w:szCs w:val="14"/>
          <w:u w:val="single" w:color="auto"/>
          <w:color w:val="0000EE"/>
        </w:rPr>
        <w:t>RISK FACTORS</w:t>
      </w:r>
    </w:p>
    <w:p>
      <w:pPr>
        <w:ind w:left="220"/>
        <w:spacing w:after="0" w:line="236" w:lineRule="auto"/>
        <w:rPr>
          <w:sz w:val="20"/>
          <w:szCs w:val="20"/>
          <w:color w:val="auto"/>
        </w:rPr>
      </w:pPr>
      <w:r>
        <w:rPr>
          <w:rFonts w:ascii="Calibri" w:cs="Calibri" w:eastAsia="Calibri" w:hAnsi="Calibri"/>
          <w:sz w:val="14"/>
          <w:szCs w:val="14"/>
          <w:u w:val="single" w:color="auto"/>
          <w:color w:val="0000EE"/>
        </w:rPr>
        <w:t>FORWARD-LOOKING STATEMENTS</w:t>
      </w:r>
    </w:p>
    <w:p>
      <w:pPr>
        <w:ind w:left="220"/>
        <w:spacing w:after="0" w:line="236" w:lineRule="auto"/>
        <w:rPr>
          <w:sz w:val="20"/>
          <w:szCs w:val="20"/>
          <w:color w:val="auto"/>
        </w:rPr>
      </w:pPr>
      <w:r>
        <w:rPr>
          <w:rFonts w:ascii="Calibri" w:cs="Calibri" w:eastAsia="Calibri" w:hAnsi="Calibri"/>
          <w:sz w:val="14"/>
          <w:szCs w:val="14"/>
          <w:u w:val="single" w:color="auto"/>
          <w:color w:val="0000EE"/>
        </w:rPr>
        <w:t>USE OF PROCEEDS</w:t>
      </w:r>
    </w:p>
    <w:p>
      <w:pPr>
        <w:ind w:left="220"/>
        <w:spacing w:after="0" w:line="236" w:lineRule="auto"/>
        <w:rPr>
          <w:sz w:val="20"/>
          <w:szCs w:val="20"/>
          <w:color w:val="auto"/>
        </w:rPr>
      </w:pPr>
      <w:r>
        <w:rPr>
          <w:rFonts w:ascii="Calibri" w:cs="Calibri" w:eastAsia="Calibri" w:hAnsi="Calibri"/>
          <w:sz w:val="14"/>
          <w:szCs w:val="14"/>
          <w:u w:val="single" w:color="auto"/>
          <w:color w:val="0000EE"/>
        </w:rPr>
        <w:t>DESCRIPTION OF CAPITAL STOCK</w:t>
      </w:r>
    </w:p>
    <w:p>
      <w:pPr>
        <w:ind w:left="220"/>
        <w:spacing w:after="0" w:line="236" w:lineRule="auto"/>
        <w:rPr>
          <w:sz w:val="20"/>
          <w:szCs w:val="20"/>
          <w:color w:val="auto"/>
        </w:rPr>
      </w:pPr>
      <w:r>
        <w:rPr>
          <w:rFonts w:ascii="Calibri" w:cs="Calibri" w:eastAsia="Calibri" w:hAnsi="Calibri"/>
          <w:sz w:val="14"/>
          <w:szCs w:val="14"/>
          <w:u w:val="single" w:color="auto"/>
          <w:color w:val="0000EE"/>
        </w:rPr>
        <w:t>DESCRIPTION OF DEBT SECURITIES</w:t>
      </w:r>
    </w:p>
    <w:p>
      <w:pPr>
        <w:ind w:left="220"/>
        <w:spacing w:after="0" w:line="236" w:lineRule="auto"/>
        <w:rPr>
          <w:sz w:val="20"/>
          <w:szCs w:val="20"/>
          <w:color w:val="auto"/>
        </w:rPr>
      </w:pPr>
      <w:r>
        <w:rPr>
          <w:rFonts w:ascii="Calibri" w:cs="Calibri" w:eastAsia="Calibri" w:hAnsi="Calibri"/>
          <w:sz w:val="14"/>
          <w:szCs w:val="14"/>
          <w:u w:val="single" w:color="auto"/>
          <w:color w:val="0000EE"/>
        </w:rPr>
        <w:t>DESCRIPTION OF DEPOSITARY SHARES</w:t>
      </w:r>
    </w:p>
    <w:p>
      <w:pPr>
        <w:ind w:left="220"/>
        <w:spacing w:after="0" w:line="236" w:lineRule="auto"/>
        <w:rPr>
          <w:sz w:val="20"/>
          <w:szCs w:val="20"/>
          <w:color w:val="auto"/>
        </w:rPr>
      </w:pPr>
      <w:r>
        <w:rPr>
          <w:rFonts w:ascii="Calibri" w:cs="Calibri" w:eastAsia="Calibri" w:hAnsi="Calibri"/>
          <w:sz w:val="14"/>
          <w:szCs w:val="14"/>
          <w:u w:val="single" w:color="auto"/>
          <w:color w:val="0000EE"/>
        </w:rPr>
        <w:t>DESCRIPTION OF WARRANTS</w:t>
      </w:r>
    </w:p>
    <w:p>
      <w:pPr>
        <w:ind w:left="220"/>
        <w:spacing w:after="0" w:line="236" w:lineRule="auto"/>
        <w:rPr>
          <w:sz w:val="20"/>
          <w:szCs w:val="20"/>
          <w:color w:val="auto"/>
        </w:rPr>
      </w:pPr>
      <w:r>
        <w:rPr>
          <w:rFonts w:ascii="Calibri" w:cs="Calibri" w:eastAsia="Calibri" w:hAnsi="Calibri"/>
          <w:sz w:val="14"/>
          <w:szCs w:val="14"/>
          <w:u w:val="single" w:color="auto"/>
          <w:color w:val="0000EE"/>
        </w:rPr>
        <w:t>DESCRIPTION OF SUBSCRIPTION RIGHTS</w:t>
      </w:r>
    </w:p>
    <w:p>
      <w:pPr>
        <w:ind w:left="220"/>
        <w:spacing w:after="0" w:line="236" w:lineRule="auto"/>
        <w:rPr>
          <w:sz w:val="20"/>
          <w:szCs w:val="20"/>
          <w:color w:val="auto"/>
        </w:rPr>
      </w:pPr>
      <w:r>
        <w:rPr>
          <w:rFonts w:ascii="Calibri" w:cs="Calibri" w:eastAsia="Calibri" w:hAnsi="Calibri"/>
          <w:sz w:val="14"/>
          <w:szCs w:val="14"/>
          <w:u w:val="single" w:color="auto"/>
          <w:color w:val="0000EE"/>
        </w:rPr>
        <w:t>DESCRIPTION OF PURCHASE CONTRACTS</w:t>
      </w:r>
    </w:p>
    <w:p>
      <w:pPr>
        <w:ind w:left="220"/>
        <w:spacing w:after="0" w:line="236" w:lineRule="auto"/>
        <w:rPr>
          <w:sz w:val="20"/>
          <w:szCs w:val="20"/>
          <w:color w:val="auto"/>
        </w:rPr>
      </w:pPr>
      <w:r>
        <w:rPr>
          <w:rFonts w:ascii="Calibri" w:cs="Calibri" w:eastAsia="Calibri" w:hAnsi="Calibri"/>
          <w:sz w:val="14"/>
          <w:szCs w:val="14"/>
          <w:u w:val="single" w:color="auto"/>
          <w:color w:val="0000EE"/>
        </w:rPr>
        <w:t>DESCRIPTION OF UNITS</w:t>
      </w:r>
    </w:p>
    <w:p>
      <w:pPr>
        <w:ind w:left="220"/>
        <w:spacing w:after="0" w:line="236" w:lineRule="auto"/>
        <w:rPr>
          <w:sz w:val="20"/>
          <w:szCs w:val="20"/>
          <w:color w:val="auto"/>
        </w:rPr>
      </w:pPr>
      <w:r>
        <w:rPr>
          <w:rFonts w:ascii="Calibri" w:cs="Calibri" w:eastAsia="Calibri" w:hAnsi="Calibri"/>
          <w:sz w:val="14"/>
          <w:szCs w:val="14"/>
          <w:u w:val="single" w:color="auto"/>
          <w:color w:val="0000EE"/>
        </w:rPr>
        <w:t>PLAN OF DISTRIBUTION</w:t>
      </w:r>
    </w:p>
    <w:p>
      <w:pPr>
        <w:ind w:left="220"/>
        <w:spacing w:after="0" w:line="236" w:lineRule="auto"/>
        <w:rPr>
          <w:sz w:val="20"/>
          <w:szCs w:val="20"/>
          <w:color w:val="auto"/>
        </w:rPr>
      </w:pPr>
      <w:r>
        <w:rPr>
          <w:rFonts w:ascii="Calibri" w:cs="Calibri" w:eastAsia="Calibri" w:hAnsi="Calibri"/>
          <w:sz w:val="14"/>
          <w:szCs w:val="14"/>
          <w:u w:val="single" w:color="auto"/>
          <w:color w:val="0000EE"/>
        </w:rPr>
        <w:t>LEGAL MATTERS</w:t>
      </w:r>
    </w:p>
    <w:p>
      <w:pPr>
        <w:ind w:left="220"/>
        <w:spacing w:after="0" w:line="236" w:lineRule="auto"/>
        <w:rPr>
          <w:sz w:val="20"/>
          <w:szCs w:val="20"/>
          <w:color w:val="auto"/>
        </w:rPr>
      </w:pPr>
      <w:r>
        <w:rPr>
          <w:rFonts w:ascii="Calibri" w:cs="Calibri" w:eastAsia="Calibri" w:hAnsi="Calibri"/>
          <w:sz w:val="14"/>
          <w:szCs w:val="14"/>
          <w:u w:val="single" w:color="auto"/>
          <w:color w:val="0000EE"/>
        </w:rPr>
        <w:t>EXPERTS</w:t>
      </w:r>
    </w:p>
    <w:p>
      <w:pPr>
        <w:ind w:left="220"/>
        <w:spacing w:after="0" w:line="236" w:lineRule="auto"/>
        <w:rPr>
          <w:sz w:val="20"/>
          <w:szCs w:val="20"/>
          <w:color w:val="auto"/>
        </w:rPr>
      </w:pPr>
      <w:r>
        <w:rPr>
          <w:rFonts w:ascii="Calibri" w:cs="Calibri" w:eastAsia="Calibri" w:hAnsi="Calibri"/>
          <w:sz w:val="14"/>
          <w:szCs w:val="14"/>
          <w:u w:val="single" w:color="auto"/>
          <w:color w:val="0000EE"/>
        </w:rPr>
        <w:t>WHERE YOU CAN FIND MORE INFORMATION</w:t>
      </w:r>
    </w:p>
    <w:p>
      <w:pPr>
        <w:ind w:left="220"/>
        <w:spacing w:after="0" w:line="236" w:lineRule="auto"/>
        <w:rPr>
          <w:sz w:val="20"/>
          <w:szCs w:val="20"/>
          <w:color w:val="auto"/>
        </w:rPr>
      </w:pPr>
      <w:r>
        <w:rPr>
          <w:rFonts w:ascii="Calibri" w:cs="Calibri" w:eastAsia="Calibri" w:hAnsi="Calibri"/>
          <w:sz w:val="14"/>
          <w:szCs w:val="14"/>
          <w:u w:val="single" w:color="auto"/>
          <w:color w:val="0000EE"/>
        </w:rPr>
        <w:t>INCORPORATION BY REFERENCE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alibri" w:cs="Calibri" w:eastAsia="Calibri" w:hAnsi="Calibri"/>
          <w:sz w:val="14"/>
          <w:szCs w:val="14"/>
          <w:b w:val="1"/>
          <w:bCs w:val="1"/>
          <w:color w:val="auto"/>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-3222625</wp:posOffset>
            </wp:positionH>
            <wp:positionV relativeFrom="paragraph">
              <wp:posOffset>-167640</wp:posOffset>
            </wp:positionV>
            <wp:extent cx="7201535" cy="3302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01535" cy="33020"/>
                    </a:xfrm>
                    <a:prstGeom prst="rect">
                      <a:avLst/>
                    </a:prstGeom>
                    <a:noFill/>
                  </pic:spPr>
                </pic:pic>
              </a:graphicData>
            </a:graphic>
          </wp:anchor>
        </w:drawing>
      </w:r>
    </w:p>
    <w:p>
      <w:pPr>
        <w:spacing w:after="0" w:line="200" w:lineRule="exact"/>
        <w:rPr>
          <w:sz w:val="20"/>
          <w:szCs w:val="20"/>
          <w:color w:val="auto"/>
        </w:rPr>
      </w:pPr>
    </w:p>
    <w:p>
      <w:pPr>
        <w:spacing w:after="0" w:line="310" w:lineRule="exact"/>
        <w:rPr>
          <w:sz w:val="20"/>
          <w:szCs w:val="20"/>
          <w:color w:val="auto"/>
        </w:rPr>
      </w:pPr>
    </w:p>
    <w:p>
      <w:pPr>
        <w:ind w:left="4560"/>
        <w:spacing w:after="0"/>
        <w:rPr>
          <w:sz w:val="20"/>
          <w:szCs w:val="20"/>
          <w:color w:val="auto"/>
        </w:rPr>
      </w:pPr>
      <w:r>
        <w:rPr>
          <w:rFonts w:ascii="Calibri" w:cs="Calibri" w:eastAsia="Calibri" w:hAnsi="Calibri"/>
          <w:sz w:val="11"/>
          <w:szCs w:val="11"/>
          <w:b w:val="1"/>
          <w:bCs w:val="1"/>
          <w:color w:val="auto"/>
        </w:rPr>
        <w:t>PAGE</w:t>
      </w:r>
    </w:p>
    <w:p>
      <w:pPr>
        <w:spacing w:after="0" w:line="5" w:lineRule="exact"/>
        <w:rPr>
          <w:sz w:val="20"/>
          <w:szCs w:val="20"/>
          <w:color w:val="auto"/>
        </w:rPr>
      </w:pPr>
    </w:p>
    <w:p>
      <w:pPr>
        <w:jc w:val="right"/>
        <w:ind w:right="279"/>
        <w:spacing w:after="0"/>
        <w:rPr>
          <w:sz w:val="20"/>
          <w:szCs w:val="20"/>
          <w:color w:val="auto"/>
        </w:rPr>
      </w:pPr>
      <w:r>
        <w:rPr>
          <w:rFonts w:ascii="Calibri" w:cs="Calibri" w:eastAsia="Calibri" w:hAnsi="Calibri"/>
          <w:sz w:val="14"/>
          <w:szCs w:val="14"/>
          <w:color w:val="auto"/>
        </w:rPr>
        <w:t>S-1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2872105</wp:posOffset>
            </wp:positionH>
            <wp:positionV relativeFrom="paragraph">
              <wp:posOffset>-100965</wp:posOffset>
            </wp:positionV>
            <wp:extent cx="193675" cy="698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93675" cy="6985"/>
                    </a:xfrm>
                    <a:prstGeom prst="rect">
                      <a:avLst/>
                    </a:prstGeom>
                    <a:noFill/>
                  </pic:spPr>
                </pic:pic>
              </a:graphicData>
            </a:graphic>
          </wp:anchor>
        </w:drawing>
      </w:r>
    </w:p>
    <w:p>
      <w:pPr>
        <w:jc w:val="right"/>
        <w:ind w:right="279"/>
        <w:spacing w:after="0" w:line="235" w:lineRule="auto"/>
        <w:rPr>
          <w:sz w:val="20"/>
          <w:szCs w:val="20"/>
          <w:color w:val="auto"/>
        </w:rPr>
      </w:pPr>
      <w:r>
        <w:rPr>
          <w:rFonts w:ascii="Calibri" w:cs="Calibri" w:eastAsia="Calibri" w:hAnsi="Calibri"/>
          <w:sz w:val="14"/>
          <w:szCs w:val="14"/>
          <w:color w:val="auto"/>
        </w:rPr>
        <w:t>S-3</w:t>
      </w:r>
    </w:p>
    <w:p>
      <w:pPr>
        <w:jc w:val="right"/>
        <w:ind w:right="279"/>
        <w:spacing w:after="0" w:line="236" w:lineRule="auto"/>
        <w:rPr>
          <w:sz w:val="20"/>
          <w:szCs w:val="20"/>
          <w:color w:val="auto"/>
        </w:rPr>
      </w:pPr>
      <w:r>
        <w:rPr>
          <w:rFonts w:ascii="Calibri" w:cs="Calibri" w:eastAsia="Calibri" w:hAnsi="Calibri"/>
          <w:sz w:val="14"/>
          <w:szCs w:val="14"/>
          <w:color w:val="auto"/>
        </w:rPr>
        <w:t>S-4</w:t>
      </w:r>
    </w:p>
    <w:p>
      <w:pPr>
        <w:jc w:val="right"/>
        <w:ind w:right="279"/>
        <w:spacing w:after="0" w:line="236" w:lineRule="auto"/>
        <w:rPr>
          <w:sz w:val="20"/>
          <w:szCs w:val="20"/>
          <w:color w:val="auto"/>
        </w:rPr>
      </w:pPr>
      <w:r>
        <w:rPr>
          <w:rFonts w:ascii="Calibri" w:cs="Calibri" w:eastAsia="Calibri" w:hAnsi="Calibri"/>
          <w:sz w:val="14"/>
          <w:szCs w:val="14"/>
          <w:color w:val="auto"/>
        </w:rPr>
        <w:t>S-7</w:t>
      </w:r>
    </w:p>
    <w:p>
      <w:pPr>
        <w:jc w:val="right"/>
        <w:ind w:right="279"/>
        <w:spacing w:after="0" w:line="236" w:lineRule="auto"/>
        <w:rPr>
          <w:sz w:val="20"/>
          <w:szCs w:val="20"/>
          <w:color w:val="auto"/>
        </w:rPr>
      </w:pPr>
      <w:r>
        <w:rPr>
          <w:rFonts w:ascii="Calibri" w:cs="Calibri" w:eastAsia="Calibri" w:hAnsi="Calibri"/>
          <w:sz w:val="14"/>
          <w:szCs w:val="14"/>
          <w:color w:val="auto"/>
        </w:rPr>
        <w:t>S-10</w:t>
      </w:r>
    </w:p>
    <w:p>
      <w:pPr>
        <w:jc w:val="right"/>
        <w:ind w:right="279"/>
        <w:spacing w:after="0" w:line="236" w:lineRule="auto"/>
        <w:rPr>
          <w:sz w:val="20"/>
          <w:szCs w:val="20"/>
          <w:color w:val="auto"/>
        </w:rPr>
      </w:pPr>
      <w:r>
        <w:rPr>
          <w:rFonts w:ascii="Calibri" w:cs="Calibri" w:eastAsia="Calibri" w:hAnsi="Calibri"/>
          <w:sz w:val="14"/>
          <w:szCs w:val="14"/>
          <w:color w:val="auto"/>
        </w:rPr>
        <w:t>S-12</w:t>
      </w:r>
    </w:p>
    <w:p>
      <w:pPr>
        <w:jc w:val="right"/>
        <w:ind w:right="279"/>
        <w:spacing w:after="0" w:line="236" w:lineRule="auto"/>
        <w:rPr>
          <w:sz w:val="20"/>
          <w:szCs w:val="20"/>
          <w:color w:val="auto"/>
        </w:rPr>
      </w:pPr>
      <w:r>
        <w:rPr>
          <w:rFonts w:ascii="Calibri" w:cs="Calibri" w:eastAsia="Calibri" w:hAnsi="Calibri"/>
          <w:sz w:val="14"/>
          <w:szCs w:val="14"/>
          <w:color w:val="auto"/>
        </w:rPr>
        <w:t>S-15</w:t>
      </w:r>
    </w:p>
    <w:p>
      <w:pPr>
        <w:jc w:val="right"/>
        <w:ind w:right="279"/>
        <w:spacing w:after="0" w:line="236" w:lineRule="auto"/>
        <w:rPr>
          <w:sz w:val="20"/>
          <w:szCs w:val="20"/>
          <w:color w:val="auto"/>
        </w:rPr>
      </w:pPr>
      <w:r>
        <w:rPr>
          <w:rFonts w:ascii="Calibri" w:cs="Calibri" w:eastAsia="Calibri" w:hAnsi="Calibri"/>
          <w:sz w:val="14"/>
          <w:szCs w:val="14"/>
          <w:color w:val="auto"/>
        </w:rPr>
        <w:t>S-17</w:t>
      </w:r>
    </w:p>
    <w:p>
      <w:pPr>
        <w:jc w:val="right"/>
        <w:ind w:right="279"/>
        <w:spacing w:after="0" w:line="236" w:lineRule="auto"/>
        <w:rPr>
          <w:sz w:val="20"/>
          <w:szCs w:val="20"/>
          <w:color w:val="auto"/>
        </w:rPr>
      </w:pPr>
      <w:r>
        <w:rPr>
          <w:rFonts w:ascii="Calibri" w:cs="Calibri" w:eastAsia="Calibri" w:hAnsi="Calibri"/>
          <w:sz w:val="14"/>
          <w:szCs w:val="14"/>
          <w:color w:val="auto"/>
        </w:rPr>
        <w:t>S-18</w:t>
      </w:r>
    </w:p>
    <w:p>
      <w:pPr>
        <w:jc w:val="right"/>
        <w:ind w:right="279"/>
        <w:spacing w:after="0" w:line="236" w:lineRule="auto"/>
        <w:rPr>
          <w:sz w:val="20"/>
          <w:szCs w:val="20"/>
          <w:color w:val="auto"/>
        </w:rPr>
      </w:pPr>
      <w:r>
        <w:rPr>
          <w:rFonts w:ascii="Calibri" w:cs="Calibri" w:eastAsia="Calibri" w:hAnsi="Calibri"/>
          <w:sz w:val="14"/>
          <w:szCs w:val="14"/>
          <w:color w:val="auto"/>
        </w:rPr>
        <w:t>S-19</w:t>
      </w:r>
    </w:p>
    <w:p>
      <w:pPr>
        <w:jc w:val="right"/>
        <w:ind w:right="279"/>
        <w:spacing w:after="0" w:line="236" w:lineRule="auto"/>
        <w:rPr>
          <w:sz w:val="20"/>
          <w:szCs w:val="20"/>
          <w:color w:val="auto"/>
        </w:rPr>
      </w:pPr>
      <w:r>
        <w:rPr>
          <w:rFonts w:ascii="Calibri" w:cs="Calibri" w:eastAsia="Calibri" w:hAnsi="Calibri"/>
          <w:sz w:val="14"/>
          <w:szCs w:val="14"/>
          <w:color w:val="auto"/>
        </w:rPr>
        <w:t>S-21</w:t>
      </w:r>
    </w:p>
    <w:p>
      <w:pPr>
        <w:jc w:val="right"/>
        <w:ind w:right="279"/>
        <w:spacing w:after="0" w:line="236" w:lineRule="auto"/>
        <w:rPr>
          <w:sz w:val="20"/>
          <w:szCs w:val="20"/>
          <w:color w:val="auto"/>
        </w:rPr>
      </w:pPr>
      <w:r>
        <w:rPr>
          <w:rFonts w:ascii="Calibri" w:cs="Calibri" w:eastAsia="Calibri" w:hAnsi="Calibri"/>
          <w:sz w:val="14"/>
          <w:szCs w:val="14"/>
          <w:color w:val="auto"/>
        </w:rPr>
        <w:t>S-28</w:t>
      </w:r>
    </w:p>
    <w:p>
      <w:pPr>
        <w:jc w:val="right"/>
        <w:ind w:right="279"/>
        <w:spacing w:after="0" w:line="236" w:lineRule="auto"/>
        <w:rPr>
          <w:sz w:val="20"/>
          <w:szCs w:val="20"/>
          <w:color w:val="auto"/>
        </w:rPr>
      </w:pPr>
      <w:r>
        <w:rPr>
          <w:rFonts w:ascii="Calibri" w:cs="Calibri" w:eastAsia="Calibri" w:hAnsi="Calibri"/>
          <w:sz w:val="14"/>
          <w:szCs w:val="14"/>
          <w:color w:val="auto"/>
        </w:rPr>
        <w:t>S-35</w:t>
      </w:r>
    </w:p>
    <w:p>
      <w:pPr>
        <w:jc w:val="right"/>
        <w:ind w:right="279"/>
        <w:spacing w:after="0" w:line="236" w:lineRule="auto"/>
        <w:rPr>
          <w:sz w:val="20"/>
          <w:szCs w:val="20"/>
          <w:color w:val="auto"/>
        </w:rPr>
      </w:pPr>
      <w:r>
        <w:rPr>
          <w:rFonts w:ascii="Calibri" w:cs="Calibri" w:eastAsia="Calibri" w:hAnsi="Calibri"/>
          <w:sz w:val="14"/>
          <w:szCs w:val="14"/>
          <w:color w:val="auto"/>
        </w:rPr>
        <w:t>S-36</w:t>
      </w:r>
    </w:p>
    <w:p>
      <w:pPr>
        <w:jc w:val="right"/>
        <w:ind w:right="279"/>
        <w:spacing w:after="0" w:line="236" w:lineRule="auto"/>
        <w:rPr>
          <w:sz w:val="20"/>
          <w:szCs w:val="20"/>
          <w:color w:val="auto"/>
        </w:rPr>
      </w:pPr>
      <w:r>
        <w:rPr>
          <w:rFonts w:ascii="Calibri" w:cs="Calibri" w:eastAsia="Calibri" w:hAnsi="Calibri"/>
          <w:sz w:val="14"/>
          <w:szCs w:val="14"/>
          <w:color w:val="auto"/>
        </w:rPr>
        <w:t>S-37</w:t>
      </w:r>
    </w:p>
    <w:p>
      <w:pPr>
        <w:jc w:val="right"/>
        <w:ind w:right="279"/>
        <w:spacing w:after="0" w:line="236" w:lineRule="auto"/>
        <w:rPr>
          <w:sz w:val="20"/>
          <w:szCs w:val="20"/>
          <w:color w:val="auto"/>
        </w:rPr>
      </w:pPr>
      <w:r>
        <w:rPr>
          <w:rFonts w:ascii="Calibri" w:cs="Calibri" w:eastAsia="Calibri" w:hAnsi="Calibri"/>
          <w:sz w:val="14"/>
          <w:szCs w:val="14"/>
          <w:color w:val="auto"/>
        </w:rPr>
        <w:t>S-38</w:t>
      </w:r>
    </w:p>
    <w:p>
      <w:pPr>
        <w:spacing w:after="0" w:line="200" w:lineRule="exact"/>
        <w:rPr>
          <w:sz w:val="20"/>
          <w:szCs w:val="20"/>
          <w:color w:val="auto"/>
        </w:rPr>
      </w:pPr>
    </w:p>
    <w:p>
      <w:pPr>
        <w:spacing w:after="0" w:line="331" w:lineRule="exact"/>
        <w:rPr>
          <w:sz w:val="20"/>
          <w:szCs w:val="20"/>
          <w:color w:val="auto"/>
        </w:rPr>
      </w:pPr>
    </w:p>
    <w:p>
      <w:pPr>
        <w:ind w:left="4580"/>
        <w:spacing w:after="0"/>
        <w:rPr>
          <w:sz w:val="20"/>
          <w:szCs w:val="20"/>
          <w:color w:val="auto"/>
        </w:rPr>
      </w:pPr>
      <w:r>
        <w:rPr>
          <w:rFonts w:ascii="Calibri" w:cs="Calibri" w:eastAsia="Calibri" w:hAnsi="Calibri"/>
          <w:sz w:val="11"/>
          <w:szCs w:val="11"/>
          <w:b w:val="1"/>
          <w:bCs w:val="1"/>
          <w:color w:val="auto"/>
        </w:rPr>
        <w:t>PAGE</w:t>
      </w:r>
    </w:p>
    <w:p>
      <w:pPr>
        <w:spacing w:after="0" w:line="5" w:lineRule="exact"/>
        <w:rPr>
          <w:sz w:val="20"/>
          <w:szCs w:val="20"/>
          <w:color w:val="auto"/>
        </w:rPr>
      </w:pPr>
    </w:p>
    <w:p>
      <w:pPr>
        <w:jc w:val="right"/>
        <w:ind w:right="259"/>
        <w:spacing w:after="0"/>
        <w:rPr>
          <w:sz w:val="20"/>
          <w:szCs w:val="20"/>
          <w:color w:val="auto"/>
        </w:rPr>
      </w:pPr>
      <w:r>
        <w:rPr>
          <w:rFonts w:ascii="Calibri" w:cs="Calibri" w:eastAsia="Calibri" w:hAnsi="Calibri"/>
          <w:sz w:val="14"/>
          <w:szCs w:val="14"/>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2912110</wp:posOffset>
            </wp:positionH>
            <wp:positionV relativeFrom="paragraph">
              <wp:posOffset>-100965</wp:posOffset>
            </wp:positionV>
            <wp:extent cx="160020" cy="698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60020" cy="6985"/>
                    </a:xfrm>
                    <a:prstGeom prst="rect">
                      <a:avLst/>
                    </a:prstGeom>
                    <a:noFill/>
                  </pic:spPr>
                </pic:pic>
              </a:graphicData>
            </a:graphic>
          </wp:anchor>
        </w:drawing>
      </w:r>
    </w:p>
    <w:p>
      <w:pPr>
        <w:jc w:val="right"/>
        <w:ind w:right="259"/>
        <w:spacing w:after="0" w:line="235" w:lineRule="auto"/>
        <w:rPr>
          <w:sz w:val="20"/>
          <w:szCs w:val="20"/>
          <w:color w:val="auto"/>
        </w:rPr>
      </w:pPr>
      <w:r>
        <w:rPr>
          <w:rFonts w:ascii="Calibri" w:cs="Calibri" w:eastAsia="Calibri" w:hAnsi="Calibri"/>
          <w:sz w:val="14"/>
          <w:szCs w:val="14"/>
          <w:color w:val="auto"/>
        </w:rPr>
        <w:t>1</w:t>
      </w:r>
    </w:p>
    <w:p>
      <w:pPr>
        <w:jc w:val="right"/>
        <w:ind w:right="259"/>
        <w:spacing w:after="0" w:line="236" w:lineRule="auto"/>
        <w:rPr>
          <w:sz w:val="20"/>
          <w:szCs w:val="20"/>
          <w:color w:val="auto"/>
        </w:rPr>
      </w:pPr>
      <w:r>
        <w:rPr>
          <w:rFonts w:ascii="Calibri" w:cs="Calibri" w:eastAsia="Calibri" w:hAnsi="Calibri"/>
          <w:sz w:val="14"/>
          <w:szCs w:val="14"/>
          <w:color w:val="auto"/>
        </w:rPr>
        <w:t>5</w:t>
      </w:r>
    </w:p>
    <w:p>
      <w:pPr>
        <w:jc w:val="right"/>
        <w:ind w:right="259"/>
        <w:spacing w:after="0" w:line="236" w:lineRule="auto"/>
        <w:rPr>
          <w:sz w:val="20"/>
          <w:szCs w:val="20"/>
          <w:color w:val="auto"/>
        </w:rPr>
      </w:pPr>
      <w:r>
        <w:rPr>
          <w:rFonts w:ascii="Calibri" w:cs="Calibri" w:eastAsia="Calibri" w:hAnsi="Calibri"/>
          <w:sz w:val="14"/>
          <w:szCs w:val="14"/>
          <w:color w:val="auto"/>
        </w:rPr>
        <w:t>6</w:t>
      </w:r>
    </w:p>
    <w:p>
      <w:pPr>
        <w:jc w:val="right"/>
        <w:ind w:right="259"/>
        <w:spacing w:after="0" w:line="236" w:lineRule="auto"/>
        <w:rPr>
          <w:sz w:val="20"/>
          <w:szCs w:val="20"/>
          <w:color w:val="auto"/>
        </w:rPr>
      </w:pPr>
      <w:r>
        <w:rPr>
          <w:rFonts w:ascii="Calibri" w:cs="Calibri" w:eastAsia="Calibri" w:hAnsi="Calibri"/>
          <w:sz w:val="14"/>
          <w:szCs w:val="14"/>
          <w:color w:val="auto"/>
        </w:rPr>
        <w:t>7</w:t>
      </w:r>
    </w:p>
    <w:p>
      <w:pPr>
        <w:jc w:val="right"/>
        <w:ind w:right="259"/>
        <w:spacing w:after="0" w:line="236" w:lineRule="auto"/>
        <w:rPr>
          <w:sz w:val="20"/>
          <w:szCs w:val="20"/>
          <w:color w:val="auto"/>
        </w:rPr>
      </w:pPr>
      <w:r>
        <w:rPr>
          <w:rFonts w:ascii="Calibri" w:cs="Calibri" w:eastAsia="Calibri" w:hAnsi="Calibri"/>
          <w:sz w:val="14"/>
          <w:szCs w:val="14"/>
          <w:color w:val="auto"/>
        </w:rPr>
        <w:t>8</w:t>
      </w:r>
    </w:p>
    <w:p>
      <w:pPr>
        <w:jc w:val="right"/>
        <w:ind w:right="259"/>
        <w:spacing w:after="0" w:line="236" w:lineRule="auto"/>
        <w:rPr>
          <w:sz w:val="20"/>
          <w:szCs w:val="20"/>
          <w:color w:val="auto"/>
        </w:rPr>
      </w:pPr>
      <w:r>
        <w:rPr>
          <w:rFonts w:ascii="Calibri" w:cs="Calibri" w:eastAsia="Calibri" w:hAnsi="Calibri"/>
          <w:sz w:val="14"/>
          <w:szCs w:val="14"/>
          <w:color w:val="auto"/>
        </w:rPr>
        <w:t>9</w:t>
      </w:r>
    </w:p>
    <w:p>
      <w:pPr>
        <w:jc w:val="right"/>
        <w:ind w:right="259"/>
        <w:spacing w:after="0" w:line="236" w:lineRule="auto"/>
        <w:rPr>
          <w:sz w:val="20"/>
          <w:szCs w:val="20"/>
          <w:color w:val="auto"/>
        </w:rPr>
      </w:pPr>
      <w:r>
        <w:rPr>
          <w:rFonts w:ascii="Calibri" w:cs="Calibri" w:eastAsia="Calibri" w:hAnsi="Calibri"/>
          <w:sz w:val="14"/>
          <w:szCs w:val="14"/>
          <w:color w:val="auto"/>
        </w:rPr>
        <w:t>17</w:t>
      </w:r>
    </w:p>
    <w:p>
      <w:pPr>
        <w:jc w:val="right"/>
        <w:ind w:right="259"/>
        <w:spacing w:after="0" w:line="236" w:lineRule="auto"/>
        <w:rPr>
          <w:sz w:val="20"/>
          <w:szCs w:val="20"/>
          <w:color w:val="auto"/>
        </w:rPr>
      </w:pPr>
      <w:r>
        <w:rPr>
          <w:rFonts w:ascii="Calibri" w:cs="Calibri" w:eastAsia="Calibri" w:hAnsi="Calibri"/>
          <w:sz w:val="14"/>
          <w:szCs w:val="14"/>
          <w:color w:val="auto"/>
        </w:rPr>
        <w:t>20</w:t>
      </w:r>
    </w:p>
    <w:p>
      <w:pPr>
        <w:jc w:val="right"/>
        <w:ind w:right="259"/>
        <w:spacing w:after="0" w:line="236" w:lineRule="auto"/>
        <w:rPr>
          <w:sz w:val="20"/>
          <w:szCs w:val="20"/>
          <w:color w:val="auto"/>
        </w:rPr>
      </w:pPr>
      <w:r>
        <w:rPr>
          <w:rFonts w:ascii="Calibri" w:cs="Calibri" w:eastAsia="Calibri" w:hAnsi="Calibri"/>
          <w:sz w:val="14"/>
          <w:szCs w:val="14"/>
          <w:color w:val="auto"/>
        </w:rPr>
        <w:t>21</w:t>
      </w:r>
    </w:p>
    <w:p>
      <w:pPr>
        <w:jc w:val="right"/>
        <w:ind w:right="259"/>
        <w:spacing w:after="0" w:line="236" w:lineRule="auto"/>
        <w:rPr>
          <w:sz w:val="20"/>
          <w:szCs w:val="20"/>
          <w:color w:val="auto"/>
        </w:rPr>
      </w:pPr>
      <w:r>
        <w:rPr>
          <w:rFonts w:ascii="Calibri" w:cs="Calibri" w:eastAsia="Calibri" w:hAnsi="Calibri"/>
          <w:sz w:val="14"/>
          <w:szCs w:val="14"/>
          <w:color w:val="auto"/>
        </w:rPr>
        <w:t>22</w:t>
      </w:r>
    </w:p>
    <w:p>
      <w:pPr>
        <w:jc w:val="right"/>
        <w:ind w:right="259"/>
        <w:spacing w:after="0" w:line="236" w:lineRule="auto"/>
        <w:rPr>
          <w:sz w:val="20"/>
          <w:szCs w:val="20"/>
          <w:color w:val="auto"/>
        </w:rPr>
      </w:pPr>
      <w:r>
        <w:rPr>
          <w:rFonts w:ascii="Calibri" w:cs="Calibri" w:eastAsia="Calibri" w:hAnsi="Calibri"/>
          <w:sz w:val="14"/>
          <w:szCs w:val="14"/>
          <w:color w:val="auto"/>
        </w:rPr>
        <w:t>23</w:t>
      </w:r>
    </w:p>
    <w:p>
      <w:pPr>
        <w:jc w:val="right"/>
        <w:ind w:right="259"/>
        <w:spacing w:after="0" w:line="236" w:lineRule="auto"/>
        <w:rPr>
          <w:sz w:val="20"/>
          <w:szCs w:val="20"/>
          <w:color w:val="auto"/>
        </w:rPr>
      </w:pPr>
      <w:r>
        <w:rPr>
          <w:rFonts w:ascii="Calibri" w:cs="Calibri" w:eastAsia="Calibri" w:hAnsi="Calibri"/>
          <w:sz w:val="14"/>
          <w:szCs w:val="14"/>
          <w:color w:val="auto"/>
        </w:rPr>
        <w:t>24</w:t>
      </w:r>
    </w:p>
    <w:p>
      <w:pPr>
        <w:jc w:val="right"/>
        <w:ind w:right="259"/>
        <w:spacing w:after="0" w:line="236" w:lineRule="auto"/>
        <w:rPr>
          <w:sz w:val="20"/>
          <w:szCs w:val="20"/>
          <w:color w:val="auto"/>
        </w:rPr>
      </w:pPr>
      <w:r>
        <w:rPr>
          <w:rFonts w:ascii="Calibri" w:cs="Calibri" w:eastAsia="Calibri" w:hAnsi="Calibri"/>
          <w:sz w:val="14"/>
          <w:szCs w:val="14"/>
          <w:color w:val="auto"/>
        </w:rPr>
        <w:t>27</w:t>
      </w:r>
    </w:p>
    <w:p>
      <w:pPr>
        <w:jc w:val="right"/>
        <w:ind w:right="259"/>
        <w:spacing w:after="0" w:line="236" w:lineRule="auto"/>
        <w:rPr>
          <w:sz w:val="20"/>
          <w:szCs w:val="20"/>
          <w:color w:val="auto"/>
        </w:rPr>
      </w:pPr>
      <w:r>
        <w:rPr>
          <w:rFonts w:ascii="Calibri" w:cs="Calibri" w:eastAsia="Calibri" w:hAnsi="Calibri"/>
          <w:sz w:val="14"/>
          <w:szCs w:val="14"/>
          <w:color w:val="auto"/>
        </w:rPr>
        <w:t>28</w:t>
      </w:r>
    </w:p>
    <w:p>
      <w:pPr>
        <w:jc w:val="right"/>
        <w:ind w:right="259"/>
        <w:spacing w:after="0" w:line="236" w:lineRule="auto"/>
        <w:rPr>
          <w:sz w:val="20"/>
          <w:szCs w:val="20"/>
          <w:color w:val="auto"/>
        </w:rPr>
      </w:pPr>
      <w:r>
        <w:rPr>
          <w:rFonts w:ascii="Calibri" w:cs="Calibri" w:eastAsia="Calibri" w:hAnsi="Calibri"/>
          <w:sz w:val="14"/>
          <w:szCs w:val="14"/>
          <w:color w:val="auto"/>
        </w:rPr>
        <w:t>29</w:t>
      </w:r>
    </w:p>
    <w:p>
      <w:pPr>
        <w:jc w:val="right"/>
        <w:ind w:right="259"/>
        <w:spacing w:after="0" w:line="236" w:lineRule="auto"/>
        <w:rPr>
          <w:sz w:val="20"/>
          <w:szCs w:val="20"/>
          <w:color w:val="auto"/>
        </w:rPr>
      </w:pPr>
      <w:r>
        <w:rPr>
          <w:rFonts w:ascii="Calibri" w:cs="Calibri" w:eastAsia="Calibri" w:hAnsi="Calibri"/>
          <w:sz w:val="14"/>
          <w:szCs w:val="14"/>
          <w:color w:val="auto"/>
        </w:rPr>
        <w:t>30</w:t>
      </w:r>
    </w:p>
    <w:p>
      <w:pPr>
        <w:spacing w:after="0" w:line="113" w:lineRule="exact"/>
        <w:rPr>
          <w:sz w:val="20"/>
          <w:szCs w:val="20"/>
          <w:color w:val="auto"/>
        </w:rPr>
      </w:pPr>
    </w:p>
    <w:p>
      <w:pPr>
        <w:ind w:left="520"/>
        <w:spacing w:after="0"/>
        <w:rPr>
          <w:sz w:val="20"/>
          <w:szCs w:val="20"/>
          <w:color w:val="auto"/>
        </w:rPr>
      </w:pPr>
      <w:r>
        <w:rPr>
          <w:rFonts w:ascii="Calibri" w:cs="Calibri" w:eastAsia="Calibri" w:hAnsi="Calibri"/>
          <w:sz w:val="14"/>
          <w:szCs w:val="14"/>
          <w:color w:val="auto"/>
        </w:rPr>
        <w:t>S-i</w:t>
      </w:r>
    </w:p>
    <w:p>
      <w:pPr>
        <w:sectPr>
          <w:pgSz w:w="11900" w:h="16838" w:orient="portrait"/>
          <w:cols w:equalWidth="0" w:num="2">
            <w:col w:w="3620" w:space="300"/>
            <w:col w:w="5099"/>
          </w:cols>
          <w:pgMar w:left="1440" w:top="234" w:right="1440" w:bottom="1440" w:gutter="0" w:footer="0" w:header="0"/>
        </w:sectPr>
      </w:pPr>
    </w:p>
    <w:bookmarkStart w:id="2" w:name="page3"/>
    <w:bookmarkEnd w:id="2"/>
    <w:p>
      <w:pPr>
        <w:jc w:val="center"/>
        <w:spacing w:after="0"/>
        <w:rPr>
          <w:sz w:val="20"/>
          <w:szCs w:val="20"/>
          <w:color w:val="auto"/>
        </w:rPr>
      </w:pPr>
      <w:r>
        <w:rPr>
          <w:rFonts w:ascii="Calibri" w:cs="Calibri" w:eastAsia="Calibri" w:hAnsi="Calibri"/>
          <w:sz w:val="14"/>
          <w:szCs w:val="14"/>
          <w:b w:val="1"/>
          <w:bCs w:val="1"/>
          <w:color w:val="auto"/>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01535" cy="33020"/>
                    </a:xfrm>
                    <a:prstGeom prst="rect">
                      <a:avLst/>
                    </a:prstGeom>
                    <a:noFill/>
                  </pic:spPr>
                </pic:pic>
              </a:graphicData>
            </a:graphic>
          </wp:anchor>
        </w:drawing>
        <w:t>ABOUT THIS PROSPECTUS SUPPLEMENT</w:t>
      </w:r>
    </w:p>
    <w:p>
      <w:pPr>
        <w:spacing w:after="0" w:line="169" w:lineRule="exact"/>
        <w:rPr>
          <w:sz w:val="20"/>
          <w:szCs w:val="20"/>
          <w:color w:val="auto"/>
        </w:rPr>
      </w:pPr>
    </w:p>
    <w:p>
      <w:pPr>
        <w:ind w:left="220" w:right="279"/>
        <w:spacing w:after="0" w:line="235" w:lineRule="auto"/>
        <w:rPr>
          <w:sz w:val="20"/>
          <w:szCs w:val="20"/>
          <w:color w:val="auto"/>
        </w:rPr>
      </w:pPr>
      <w:r>
        <w:rPr>
          <w:rFonts w:ascii="Calibri" w:cs="Calibri" w:eastAsia="Calibri" w:hAnsi="Calibri"/>
          <w:sz w:val="14"/>
          <w:szCs w:val="14"/>
          <w:color w:val="auto"/>
        </w:rPr>
        <w:t>This document is in two parts. The frst part is this prospectus supplement, which describes the specifc terms of this ofering of common stock and pre-funded warrants and also adds to and updates informaton contained in the accompanying prospectus and the documents incorporated by reference into this prospectus supplement and the accompanying prospectus. The second part is the accompanying prospectus, which gives more general informaton, some of which may not apply to this ofering. Generally, when we refer to this prospectus, we are referring to both the prospectus supplement and the accompanying prospectus. In this prospectus supplement, as permited by law, we “incorporate by reference” informaton from other documents that we fle with the Securites and Exchange Commission (the “SEC”). This means that we can disclose important informaton to you from those documents which we may fle with the SEC from tme to tme. The informaton incorporated by reference is considered to be a part of this prospectus supplement and the accompanying prospectus and should be read with the same care. This prospectus supplement describes the specifc details regarding this ofering and also adds to and updates informaton contained in the documents incorporated by reference into the accompanying prospectus. To the extent there is a confict between the informaton contained in this prospectus supplement, on the one hand, and the informaton contained in any document incorporated by reference fled prior to the date of this prospectus supplement, on the other hand, you should rely on the informaton in this prospectus supplement. However, if any statement in one of these documents is inconsistent with a statement in another document having a later date—for example, a document incorporated by reference in this prospectus supplement—the statement in the document having the later date modifes or supersedes the earlier statement as our business, fnancial conditon, results of operatons, and prospects may have changed since the earlier dates.</w:t>
      </w:r>
    </w:p>
    <w:p>
      <w:pPr>
        <w:spacing w:after="0" w:line="179" w:lineRule="exact"/>
        <w:rPr>
          <w:sz w:val="20"/>
          <w:szCs w:val="20"/>
          <w:color w:val="auto"/>
        </w:rPr>
      </w:pPr>
    </w:p>
    <w:p>
      <w:pPr>
        <w:ind w:left="220" w:right="299"/>
        <w:spacing w:after="0" w:line="235" w:lineRule="auto"/>
        <w:rPr>
          <w:sz w:val="20"/>
          <w:szCs w:val="20"/>
          <w:color w:val="auto"/>
        </w:rPr>
      </w:pPr>
      <w:r>
        <w:rPr>
          <w:rFonts w:ascii="Calibri" w:cs="Calibri" w:eastAsia="Calibri" w:hAnsi="Calibri"/>
          <w:sz w:val="14"/>
          <w:szCs w:val="14"/>
          <w:color w:val="auto"/>
        </w:rPr>
        <w:t>You should not consider any informaton in this prospectus supplement or the accompanying prospectus to be investment, legal, or tax advice. You should consult your own counsel, accountants, and other advisers for legal, tax, business, fnancial, and related advice regarding the purchase of the common stock and pre-funded warrants ofered by this prospectus supplement. If the descripton of the ofering varies between this prospectus supplement and the accompanying prospectus, you should rely on the informaton contained in this prospectus supplement.</w:t>
      </w:r>
    </w:p>
    <w:p>
      <w:pPr>
        <w:spacing w:after="0" w:line="171" w:lineRule="exact"/>
        <w:rPr>
          <w:sz w:val="20"/>
          <w:szCs w:val="20"/>
          <w:color w:val="auto"/>
        </w:rPr>
      </w:pPr>
    </w:p>
    <w:p>
      <w:pPr>
        <w:ind w:left="220" w:right="299"/>
        <w:spacing w:after="0" w:line="235" w:lineRule="auto"/>
        <w:rPr>
          <w:sz w:val="20"/>
          <w:szCs w:val="20"/>
          <w:color w:val="auto"/>
        </w:rPr>
      </w:pPr>
      <w:r>
        <w:rPr>
          <w:rFonts w:ascii="Calibri" w:cs="Calibri" w:eastAsia="Calibri" w:hAnsi="Calibri"/>
          <w:sz w:val="14"/>
          <w:szCs w:val="14"/>
          <w:color w:val="auto"/>
        </w:rPr>
        <w:t>This prospectus supplement and the accompanying prospectus are part of an automatc “shelf” registraton statement that we fled with the SEC as a “well-known seasoned issuer” as defned under the Securites Act. Under the shelf registraton process, we may ofer from tme to tme various securites, of which this ofering of shares of our common stock and pre-funded warrants is a part. Such registraton statement also includes exhibits that provide more detail on the maters discussed in this prospectus supplement and the accompanying prospectus. You should read this prospectus supplement, the accompanying prospectus, including the informaton incorporated by reference and the exhibits fled with the SEC that we have authorized for use in connecton with this ofering, in their entrety before making an investment decision.</w:t>
      </w:r>
    </w:p>
    <w:p>
      <w:pPr>
        <w:spacing w:after="0" w:line="172" w:lineRule="exact"/>
        <w:rPr>
          <w:sz w:val="20"/>
          <w:szCs w:val="20"/>
          <w:color w:val="auto"/>
        </w:rPr>
      </w:pPr>
    </w:p>
    <w:p>
      <w:pPr>
        <w:ind w:left="220" w:right="239"/>
        <w:spacing w:after="0" w:line="235" w:lineRule="auto"/>
        <w:rPr>
          <w:sz w:val="20"/>
          <w:szCs w:val="20"/>
          <w:color w:val="auto"/>
        </w:rPr>
      </w:pPr>
      <w:r>
        <w:rPr>
          <w:rFonts w:ascii="Calibri" w:cs="Calibri" w:eastAsia="Calibri" w:hAnsi="Calibri"/>
          <w:sz w:val="14"/>
          <w:szCs w:val="14"/>
          <w:color w:val="auto"/>
        </w:rPr>
        <w:t>Neither we nor the underwriters have authorized anyone to provide any informaton other than that contained or incorporated by reference in this prospectus supplement, the accompanying prospectus or in any free writng prospectus prepared by or on behalf of us or to which we have referred you. We and the underwriters take no responsibility for, and can provide no assurance as to the reliability of, any other informaton that others may give you. This prospectus supplement and the accompanying prospectus do not consttute an ofer to sell, or a solicitaton of an ofer to purchase, the securites ofered by this prospectus supplement and the accompanying prospectus in any jurisdicton to or from any person to whom or from whom it is unlawful to make such ofer or solicitaton of an ofer in such jurisdicton. The informaton contained in this prospectus supplement or the accompanying prospectus, or incorporated by reference herein or therein is accurate only as of the respectve dates thereof, regardless of the tme of delivery of this prospectus supplement and the accompanying prospectus or of any sale of our common stock and pre-funded warrants. It is important for you to read and consider all informaton contained in this prospectus supplement and the accompanying prospectus, including the documents incorporated by reference herein and therein, in making your investment</w:t>
      </w:r>
    </w:p>
    <w:p>
      <w:pPr>
        <w:spacing w:after="0" w:line="119" w:lineRule="exact"/>
        <w:rPr>
          <w:sz w:val="20"/>
          <w:szCs w:val="20"/>
          <w:color w:val="auto"/>
        </w:rPr>
      </w:pPr>
    </w:p>
    <w:p>
      <w:pPr>
        <w:jc w:val="center"/>
        <w:spacing w:after="0"/>
        <w:rPr>
          <w:sz w:val="20"/>
          <w:szCs w:val="20"/>
          <w:color w:val="auto"/>
        </w:rPr>
      </w:pPr>
      <w:r>
        <w:rPr>
          <w:rFonts w:ascii="Calibri" w:cs="Calibri" w:eastAsia="Calibri" w:hAnsi="Calibri"/>
          <w:sz w:val="14"/>
          <w:szCs w:val="14"/>
          <w:color w:val="auto"/>
        </w:rPr>
        <w:t>S-1</w:t>
      </w:r>
    </w:p>
    <w:p>
      <w:pPr>
        <w:sectPr>
          <w:pgSz w:w="11900" w:h="16838" w:orient="portrait"/>
          <w:cols w:equalWidth="0" w:num="1">
            <w:col w:w="9019"/>
          </w:cols>
          <w:pgMar w:left="1440" w:top="234" w:right="1440" w:bottom="1440" w:gutter="0" w:footer="0" w:header="0"/>
        </w:sectPr>
      </w:pPr>
    </w:p>
    <w:bookmarkStart w:id="3" w:name="page4"/>
    <w:bookmarkEnd w:id="3"/>
    <w:p>
      <w:pPr>
        <w:ind w:left="220" w:right="419"/>
        <w:spacing w:after="0" w:line="266" w:lineRule="auto"/>
        <w:rPr>
          <w:sz w:val="20"/>
          <w:szCs w:val="20"/>
          <w:color w:val="auto"/>
        </w:rPr>
      </w:pPr>
      <w:r>
        <w:rPr>
          <w:rFonts w:ascii="Calibri" w:cs="Calibri" w:eastAsia="Calibri" w:hAnsi="Calibri"/>
          <w:sz w:val="13"/>
          <w:szCs w:val="13"/>
          <w:color w:val="auto"/>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01535" cy="33020"/>
                    </a:xfrm>
                    <a:prstGeom prst="rect">
                      <a:avLst/>
                    </a:prstGeom>
                    <a:noFill/>
                  </pic:spPr>
                </pic:pic>
              </a:graphicData>
            </a:graphic>
          </wp:anchor>
        </w:drawing>
        <w:t>decision. You should also read and consider the informaton in the documents to which we have referred you in the sectons ttled “Where You Can Find More Informaton” and “Incorporaton of Certain Informaton by Reference” in this prospectus supplement and in the accompanying prospectus.</w:t>
      </w:r>
    </w:p>
    <w:p>
      <w:pPr>
        <w:spacing w:after="0" w:line="152" w:lineRule="exact"/>
        <w:rPr>
          <w:sz w:val="20"/>
          <w:szCs w:val="20"/>
          <w:color w:val="auto"/>
        </w:rPr>
      </w:pPr>
    </w:p>
    <w:p>
      <w:pPr>
        <w:ind w:left="220" w:right="239"/>
        <w:spacing w:after="0" w:line="235" w:lineRule="auto"/>
        <w:rPr>
          <w:sz w:val="20"/>
          <w:szCs w:val="20"/>
          <w:color w:val="auto"/>
        </w:rPr>
      </w:pPr>
      <w:r>
        <w:rPr>
          <w:rFonts w:ascii="Calibri" w:cs="Calibri" w:eastAsia="Calibri" w:hAnsi="Calibri"/>
          <w:sz w:val="14"/>
          <w:szCs w:val="14"/>
          <w:color w:val="auto"/>
        </w:rPr>
        <w:t>We are ofering to sell, and seeking ofers to buy, shares of our common stock and pre-funded warrants only in jurisdictons where ofers and sales are permited. The distributon of this prospectus supplement and the accompanying prospectus and the ofering of the common stock and pre-funded warrants in certain jurisdictons may be restricted by law. Persons outside the United States who come into possession of this prospectus supplement and the accompanying prospectus must inform themselves about, and observe any restrictons relatng to, the ofering of the common stock and pre-funded warrants and the distributon of this prospectus supplement and the accompanying prospectus outside the United States. This prospectus supplement and the accompanying prospectus do not consttute, and may not be used in connecton with, an ofer to sell, or a solicitaton of an ofer to buy, any securites ofered by this prospectus supplement and the accompanying prospectus by any person in any jurisdicton in which it is unlawful for such person to make such an ofer or solicitaton.</w:t>
      </w:r>
    </w:p>
    <w:p>
      <w:pPr>
        <w:spacing w:after="0" w:line="174" w:lineRule="exact"/>
        <w:rPr>
          <w:sz w:val="20"/>
          <w:szCs w:val="20"/>
          <w:color w:val="auto"/>
        </w:rPr>
      </w:pPr>
    </w:p>
    <w:p>
      <w:pPr>
        <w:ind w:left="220" w:right="379"/>
        <w:spacing w:after="0" w:line="257" w:lineRule="auto"/>
        <w:rPr>
          <w:sz w:val="20"/>
          <w:szCs w:val="20"/>
          <w:color w:val="auto"/>
        </w:rPr>
      </w:pPr>
      <w:r>
        <w:rPr>
          <w:rFonts w:ascii="Calibri" w:cs="Calibri" w:eastAsia="Calibri" w:hAnsi="Calibri"/>
          <w:sz w:val="13"/>
          <w:szCs w:val="13"/>
          <w:color w:val="auto"/>
        </w:rPr>
        <w:t>We further note that the representatons, warrantes, and covenants made by us in any agreement that is fled as an exhibit to any document that is incorporated by reference in this prospectus supplement or the accompanying prospectus were made solely for the beneft of the partes to such agreement, including, in some cases, for the purpose of allocatng risk among the partes to such agreements, and should not be deemed to be a representaton, warranty, or covenant to you. Moreover, such representatons, warrantes, and covenants were accurate only as of the date when made; therefore, such representatons, warrantes, and covenants should not be relied on as accurate representatons of the current state of our afairs.</w:t>
      </w:r>
    </w:p>
    <w:p>
      <w:pPr>
        <w:spacing w:after="0" w:line="159" w:lineRule="exact"/>
        <w:rPr>
          <w:sz w:val="20"/>
          <w:szCs w:val="20"/>
          <w:color w:val="auto"/>
        </w:rPr>
      </w:pPr>
    </w:p>
    <w:p>
      <w:pPr>
        <w:ind w:left="220" w:right="439"/>
        <w:spacing w:after="0" w:line="260" w:lineRule="auto"/>
        <w:rPr>
          <w:sz w:val="20"/>
          <w:szCs w:val="20"/>
          <w:color w:val="auto"/>
        </w:rPr>
      </w:pPr>
      <w:r>
        <w:rPr>
          <w:rFonts w:ascii="Calibri" w:cs="Calibri" w:eastAsia="Calibri" w:hAnsi="Calibri"/>
          <w:sz w:val="13"/>
          <w:szCs w:val="13"/>
          <w:color w:val="auto"/>
        </w:rPr>
        <w:t>Unless the context otherwise indicates, references in this prospectus supplement, the accompanying prospectus and the informaton incorporated by reference herein and therein to “Enliven Therapeutcs, Inc.,” “Enliven,” “we,” “our” and “us” refer, collectvely, to Enliven Therapeutcs, Inc., a Delaware corporaton, and its wholly owned subsidiaries. When we refer to “you,” we mean the potental holders of our common stock and pre-funded warrants.</w:t>
      </w:r>
    </w:p>
    <w:p>
      <w:pPr>
        <w:spacing w:after="0" w:line="100" w:lineRule="exact"/>
        <w:rPr>
          <w:sz w:val="20"/>
          <w:szCs w:val="20"/>
          <w:color w:val="auto"/>
        </w:rPr>
      </w:pPr>
    </w:p>
    <w:p>
      <w:pPr>
        <w:jc w:val="center"/>
        <w:spacing w:after="0"/>
        <w:rPr>
          <w:sz w:val="20"/>
          <w:szCs w:val="20"/>
          <w:color w:val="auto"/>
        </w:rPr>
      </w:pPr>
      <w:r>
        <w:rPr>
          <w:rFonts w:ascii="Calibri" w:cs="Calibri" w:eastAsia="Calibri" w:hAnsi="Calibri"/>
          <w:sz w:val="14"/>
          <w:szCs w:val="14"/>
          <w:color w:val="auto"/>
        </w:rPr>
        <w:t>S-2</w:t>
      </w:r>
    </w:p>
    <w:p>
      <w:pPr>
        <w:sectPr>
          <w:pgSz w:w="11900" w:h="16838" w:orient="portrait"/>
          <w:cols w:equalWidth="0" w:num="1">
            <w:col w:w="9019"/>
          </w:cols>
          <w:pgMar w:left="1440" w:top="238" w:right="1440" w:bottom="1440" w:gutter="0" w:footer="0" w:header="0"/>
        </w:sectPr>
      </w:pPr>
    </w:p>
    <w:bookmarkStart w:id="4" w:name="page5"/>
    <w:bookmarkEnd w:id="4"/>
    <w:p>
      <w:pPr>
        <w:jc w:val="center"/>
        <w:ind w:right="19"/>
        <w:spacing w:after="0"/>
        <w:rPr>
          <w:sz w:val="20"/>
          <w:szCs w:val="20"/>
          <w:color w:val="auto"/>
        </w:rPr>
      </w:pPr>
      <w:r>
        <w:rPr>
          <w:rFonts w:ascii="Calibri" w:cs="Calibri" w:eastAsia="Calibri" w:hAnsi="Calibri"/>
          <w:sz w:val="14"/>
          <w:szCs w:val="14"/>
          <w:b w:val="1"/>
          <w:bCs w:val="1"/>
          <w:color w:val="auto"/>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01535" cy="33020"/>
                    </a:xfrm>
                    <a:prstGeom prst="rect">
                      <a:avLst/>
                    </a:prstGeom>
                    <a:noFill/>
                  </pic:spPr>
                </pic:pic>
              </a:graphicData>
            </a:graphic>
          </wp:anchor>
        </w:drawing>
        <w:t>MARKET, INDUSTRY, AND OTHER DATA</w:t>
      </w:r>
    </w:p>
    <w:p>
      <w:pPr>
        <w:spacing w:after="0" w:line="169" w:lineRule="exact"/>
        <w:rPr>
          <w:sz w:val="20"/>
          <w:szCs w:val="20"/>
          <w:color w:val="auto"/>
        </w:rPr>
      </w:pPr>
    </w:p>
    <w:p>
      <w:pPr>
        <w:ind w:left="220" w:right="239"/>
        <w:spacing w:after="0" w:line="235" w:lineRule="auto"/>
        <w:rPr>
          <w:sz w:val="20"/>
          <w:szCs w:val="20"/>
          <w:color w:val="auto"/>
        </w:rPr>
      </w:pPr>
      <w:r>
        <w:rPr>
          <w:rFonts w:ascii="Calibri" w:cs="Calibri" w:eastAsia="Calibri" w:hAnsi="Calibri"/>
          <w:sz w:val="14"/>
          <w:szCs w:val="14"/>
          <w:color w:val="auto"/>
        </w:rPr>
        <w:t>This prospectus supplement and the accompanying prospectus, including the informaton incorporated by reference herein, contain estmates, projectons, and other informaton concerning our industry, our business, and the markets for certain drugs, including data regarding the estmated size of those markets. Informaton that is based on estmates, forecasts, projectons, or similar methodologies is inherently subject to uncertaintes and actual events or circumstances may difer materially from events and circumstances refected in this informaton. Unless otherwise expressly stated, we obtained this industry, business, market, and other data from reports, research surveys, studies, and similar data prepared by third partes, industry, medical and general publicatons, government data, and similar sources. In some cases, we do not expressly refer to the sources from which this data is derived. In that regard, when we refer to one or more sources of this type of data in any paragraph, you should assume that other data of this type appearing in the same paragraph is derived from the same sources, unless otherwise expressly stated or the context otherwise requires.</w:t>
      </w:r>
    </w:p>
    <w:p>
      <w:pPr>
        <w:spacing w:after="0" w:line="117" w:lineRule="exact"/>
        <w:rPr>
          <w:sz w:val="20"/>
          <w:szCs w:val="20"/>
          <w:color w:val="auto"/>
        </w:rPr>
      </w:pPr>
    </w:p>
    <w:p>
      <w:pPr>
        <w:jc w:val="center"/>
        <w:ind w:right="19"/>
        <w:spacing w:after="0"/>
        <w:rPr>
          <w:sz w:val="20"/>
          <w:szCs w:val="20"/>
          <w:color w:val="auto"/>
        </w:rPr>
      </w:pPr>
      <w:r>
        <w:rPr>
          <w:rFonts w:ascii="Calibri" w:cs="Calibri" w:eastAsia="Calibri" w:hAnsi="Calibri"/>
          <w:sz w:val="14"/>
          <w:szCs w:val="14"/>
          <w:color w:val="auto"/>
        </w:rPr>
        <w:t>S-3</w:t>
      </w:r>
    </w:p>
    <w:p>
      <w:pPr>
        <w:sectPr>
          <w:pgSz w:w="11900" w:h="16838" w:orient="portrait"/>
          <w:cols w:equalWidth="0" w:num="1">
            <w:col w:w="9019"/>
          </w:cols>
          <w:pgMar w:left="1440" w:top="234" w:right="1440" w:bottom="1440" w:gutter="0" w:footer="0" w:header="0"/>
        </w:sectPr>
      </w:pPr>
    </w:p>
    <w:bookmarkStart w:id="5" w:name="page6"/>
    <w:bookmarkEnd w:id="5"/>
    <w:p>
      <w:pPr>
        <w:jc w:val="center"/>
        <w:ind w:right="19"/>
        <w:spacing w:after="0"/>
        <w:rPr>
          <w:sz w:val="20"/>
          <w:szCs w:val="20"/>
          <w:color w:val="auto"/>
        </w:rPr>
      </w:pPr>
      <w:r>
        <w:rPr>
          <w:rFonts w:ascii="Calibri" w:cs="Calibri" w:eastAsia="Calibri" w:hAnsi="Calibri"/>
          <w:sz w:val="14"/>
          <w:szCs w:val="14"/>
          <w:b w:val="1"/>
          <w:bCs w:val="1"/>
          <w:color w:val="auto"/>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01535" cy="33020"/>
                    </a:xfrm>
                    <a:prstGeom prst="rect">
                      <a:avLst/>
                    </a:prstGeom>
                    <a:noFill/>
                  </pic:spPr>
                </pic:pic>
              </a:graphicData>
            </a:graphic>
          </wp:anchor>
        </w:drawing>
        <w:t>SPECIAL NOTE REGARDING FORWARD-LOOKING STATEMENTS</w:t>
      </w:r>
    </w:p>
    <w:p>
      <w:pPr>
        <w:spacing w:after="0" w:line="169" w:lineRule="exact"/>
        <w:rPr>
          <w:sz w:val="20"/>
          <w:szCs w:val="20"/>
          <w:color w:val="auto"/>
        </w:rPr>
      </w:pPr>
    </w:p>
    <w:p>
      <w:pPr>
        <w:ind w:left="220" w:right="239"/>
        <w:spacing w:after="0" w:line="235" w:lineRule="auto"/>
        <w:rPr>
          <w:sz w:val="20"/>
          <w:szCs w:val="20"/>
          <w:color w:val="auto"/>
        </w:rPr>
      </w:pPr>
      <w:r>
        <w:rPr>
          <w:rFonts w:ascii="Calibri" w:cs="Calibri" w:eastAsia="Calibri" w:hAnsi="Calibri"/>
          <w:sz w:val="14"/>
          <w:szCs w:val="14"/>
          <w:color w:val="auto"/>
        </w:rPr>
        <w:t>This prospectus supplement, the accompanying prospectus, and the documents incorporated by reference herein and therein, contain forward-looking statements within the meaning of Secton 27A of the Securites Act of 1933, as amended (the “Securites Act”), and Secton 21E of the Securites Exchange Act of 1934, as amended (the “Exchange Act”). All statements other than statements of historical facts contained in this prospectus supplement, the accompanying prospectus, and the documents incorporated by reference herein and therein, including statements regarding our future results of operatons and fnancial positon, business strategy, development plans, planned preclinical studies and clinical trials, future results of preclinical studies and clinical trials, expected research and development costs, regulatory strategy, tming and likelihood of success, as well as plans and objectves of management for future operatons, are forward-looking statements. In some cases, you can identfy forward-looking statements by terminology such as “may”, “will”, “should”, “expects”, “intends”, “plans”, “antcipates”, “believes”, “estmates”, “predicts”, “potental”, “contnue” or the negatve of these terms or other comparable terminology. These forward-looking statements include, but are not limited to, statements about:</w:t>
      </w:r>
    </w:p>
    <w:p>
      <w:pPr>
        <w:spacing w:after="0" w:line="97" w:lineRule="exact"/>
        <w:rPr>
          <w:sz w:val="20"/>
          <w:szCs w:val="20"/>
          <w:color w:val="auto"/>
        </w:rPr>
      </w:pPr>
    </w:p>
    <w:p>
      <w:pPr>
        <w:ind w:left="980" w:hanging="341"/>
        <w:spacing w:after="0"/>
        <w:tabs>
          <w:tab w:leader="none" w:pos="980" w:val="left"/>
        </w:tabs>
        <w:numPr>
          <w:ilvl w:val="0"/>
          <w:numId w:val="2"/>
        </w:numPr>
        <w:rPr>
          <w:rFonts w:ascii="Calibri" w:cs="Calibri" w:eastAsia="Calibri" w:hAnsi="Calibri"/>
          <w:sz w:val="14"/>
          <w:szCs w:val="14"/>
          <w:color w:val="auto"/>
        </w:rPr>
      </w:pPr>
      <w:r>
        <w:rPr>
          <w:rFonts w:ascii="Calibri" w:cs="Calibri" w:eastAsia="Calibri" w:hAnsi="Calibri"/>
          <w:sz w:val="14"/>
          <w:szCs w:val="14"/>
          <w:color w:val="auto"/>
        </w:rPr>
        <w:t>the ability of our clinical trials to demonstrate safety and efcacy of our product candidates, and other positve results;</w:t>
      </w:r>
    </w:p>
    <w:p>
      <w:pPr>
        <w:spacing w:after="0" w:line="95" w:lineRule="exact"/>
        <w:rPr>
          <w:rFonts w:ascii="Calibri" w:cs="Calibri" w:eastAsia="Calibri" w:hAnsi="Calibri"/>
          <w:sz w:val="14"/>
          <w:szCs w:val="14"/>
          <w:color w:val="auto"/>
        </w:rPr>
      </w:pPr>
    </w:p>
    <w:p>
      <w:pPr>
        <w:ind w:left="980" w:right="279" w:hanging="341"/>
        <w:spacing w:after="0" w:line="235" w:lineRule="auto"/>
        <w:tabs>
          <w:tab w:leader="none" w:pos="980" w:val="left"/>
        </w:tabs>
        <w:numPr>
          <w:ilvl w:val="0"/>
          <w:numId w:val="2"/>
        </w:numPr>
        <w:rPr>
          <w:rFonts w:ascii="Calibri" w:cs="Calibri" w:eastAsia="Calibri" w:hAnsi="Calibri"/>
          <w:sz w:val="14"/>
          <w:szCs w:val="14"/>
          <w:color w:val="auto"/>
        </w:rPr>
      </w:pPr>
      <w:r>
        <w:rPr>
          <w:rFonts w:ascii="Calibri" w:cs="Calibri" w:eastAsia="Calibri" w:hAnsi="Calibri"/>
          <w:sz w:val="14"/>
          <w:szCs w:val="14"/>
          <w:color w:val="auto"/>
        </w:rPr>
        <w:t>the tming, progress and results of clinical trials for ELVN-001 from our breakpoint cluster region - Abelson (“BCR-ABL”) program and other product candidates we have and may in the future develop, including statements regarding the tming of initaton and completon of studies or trials and related preparatory work, the period during which the results of the studies or trials will become available, and research and development programs;</w:t>
      </w:r>
    </w:p>
    <w:p>
      <w:pPr>
        <w:spacing w:after="0" w:line="93" w:lineRule="exact"/>
        <w:rPr>
          <w:rFonts w:ascii="Calibri" w:cs="Calibri" w:eastAsia="Calibri" w:hAnsi="Calibri"/>
          <w:sz w:val="14"/>
          <w:szCs w:val="14"/>
          <w:color w:val="auto"/>
        </w:rPr>
      </w:pPr>
    </w:p>
    <w:p>
      <w:pPr>
        <w:ind w:left="980" w:hanging="341"/>
        <w:spacing w:after="0"/>
        <w:tabs>
          <w:tab w:leader="none" w:pos="980" w:val="left"/>
        </w:tabs>
        <w:numPr>
          <w:ilvl w:val="0"/>
          <w:numId w:val="2"/>
        </w:numPr>
        <w:rPr>
          <w:rFonts w:ascii="Calibri" w:cs="Calibri" w:eastAsia="Calibri" w:hAnsi="Calibri"/>
          <w:sz w:val="14"/>
          <w:szCs w:val="14"/>
          <w:color w:val="auto"/>
        </w:rPr>
      </w:pPr>
      <w:r>
        <w:rPr>
          <w:rFonts w:ascii="Calibri" w:cs="Calibri" w:eastAsia="Calibri" w:hAnsi="Calibri"/>
          <w:sz w:val="14"/>
          <w:szCs w:val="14"/>
          <w:color w:val="auto"/>
        </w:rPr>
        <w:t>the potental of, and plans regarding, market opportunites, and expectatons regarding our programs, including ELVN-001;</w:t>
      </w:r>
    </w:p>
    <w:p>
      <w:pPr>
        <w:spacing w:after="0" w:line="95" w:lineRule="exact"/>
        <w:rPr>
          <w:rFonts w:ascii="Calibri" w:cs="Calibri" w:eastAsia="Calibri" w:hAnsi="Calibri"/>
          <w:sz w:val="14"/>
          <w:szCs w:val="14"/>
          <w:color w:val="auto"/>
        </w:rPr>
      </w:pPr>
    </w:p>
    <w:p>
      <w:pPr>
        <w:ind w:left="980" w:right="439" w:hanging="341"/>
        <w:spacing w:after="0" w:line="235" w:lineRule="auto"/>
        <w:tabs>
          <w:tab w:leader="none" w:pos="980" w:val="left"/>
        </w:tabs>
        <w:numPr>
          <w:ilvl w:val="0"/>
          <w:numId w:val="2"/>
        </w:numPr>
        <w:rPr>
          <w:rFonts w:ascii="Calibri" w:cs="Calibri" w:eastAsia="Calibri" w:hAnsi="Calibri"/>
          <w:sz w:val="14"/>
          <w:szCs w:val="14"/>
          <w:color w:val="auto"/>
        </w:rPr>
      </w:pPr>
      <w:r>
        <w:rPr>
          <w:rFonts w:ascii="Calibri" w:cs="Calibri" w:eastAsia="Calibri" w:hAnsi="Calibri"/>
          <w:sz w:val="14"/>
          <w:szCs w:val="14"/>
          <w:color w:val="auto"/>
        </w:rPr>
        <w:t>the tming, scope and likelihood of regulatory flings and approvals, including tming of investgatonal new drug applicatons and fnal U.S. Food and Drug Administraton approval of ELVN-001 from our BCR-ABL program and any other future product candidates;</w:t>
      </w:r>
    </w:p>
    <w:p>
      <w:pPr>
        <w:spacing w:after="0" w:line="92" w:lineRule="exact"/>
        <w:rPr>
          <w:rFonts w:ascii="Calibri" w:cs="Calibri" w:eastAsia="Calibri" w:hAnsi="Calibri"/>
          <w:sz w:val="14"/>
          <w:szCs w:val="14"/>
          <w:color w:val="auto"/>
        </w:rPr>
      </w:pPr>
    </w:p>
    <w:p>
      <w:pPr>
        <w:ind w:left="980" w:hanging="341"/>
        <w:spacing w:after="0"/>
        <w:tabs>
          <w:tab w:leader="none" w:pos="980" w:val="left"/>
        </w:tabs>
        <w:numPr>
          <w:ilvl w:val="0"/>
          <w:numId w:val="2"/>
        </w:numPr>
        <w:rPr>
          <w:rFonts w:ascii="Calibri" w:cs="Calibri" w:eastAsia="Calibri" w:hAnsi="Calibri"/>
          <w:sz w:val="14"/>
          <w:szCs w:val="14"/>
          <w:color w:val="auto"/>
        </w:rPr>
      </w:pPr>
      <w:r>
        <w:rPr>
          <w:rFonts w:ascii="Calibri" w:cs="Calibri" w:eastAsia="Calibri" w:hAnsi="Calibri"/>
          <w:sz w:val="14"/>
          <w:szCs w:val="14"/>
          <w:color w:val="auto"/>
        </w:rPr>
        <w:t>the tming, scope or likelihood of foreign regulatory flings and approvals;</w:t>
      </w:r>
    </w:p>
    <w:p>
      <w:pPr>
        <w:spacing w:after="0" w:line="91" w:lineRule="exact"/>
        <w:rPr>
          <w:rFonts w:ascii="Calibri" w:cs="Calibri" w:eastAsia="Calibri" w:hAnsi="Calibri"/>
          <w:sz w:val="14"/>
          <w:szCs w:val="14"/>
          <w:color w:val="auto"/>
        </w:rPr>
      </w:pPr>
    </w:p>
    <w:p>
      <w:pPr>
        <w:ind w:left="980" w:hanging="341"/>
        <w:spacing w:after="0"/>
        <w:tabs>
          <w:tab w:leader="none" w:pos="980" w:val="left"/>
        </w:tabs>
        <w:numPr>
          <w:ilvl w:val="0"/>
          <w:numId w:val="2"/>
        </w:numPr>
        <w:rPr>
          <w:rFonts w:ascii="Calibri" w:cs="Calibri" w:eastAsia="Calibri" w:hAnsi="Calibri"/>
          <w:sz w:val="14"/>
          <w:szCs w:val="14"/>
          <w:color w:val="auto"/>
        </w:rPr>
      </w:pPr>
      <w:r>
        <w:rPr>
          <w:rFonts w:ascii="Calibri" w:cs="Calibri" w:eastAsia="Calibri" w:hAnsi="Calibri"/>
          <w:sz w:val="14"/>
          <w:szCs w:val="14"/>
          <w:color w:val="auto"/>
        </w:rPr>
        <w:t>our ability to develop and advance current product candidates and programs into, and successfully complete, clinical trials;</w:t>
      </w:r>
    </w:p>
    <w:p>
      <w:pPr>
        <w:spacing w:after="0" w:line="95" w:lineRule="exact"/>
        <w:rPr>
          <w:rFonts w:ascii="Calibri" w:cs="Calibri" w:eastAsia="Calibri" w:hAnsi="Calibri"/>
          <w:sz w:val="14"/>
          <w:szCs w:val="14"/>
          <w:color w:val="auto"/>
        </w:rPr>
      </w:pPr>
    </w:p>
    <w:p>
      <w:pPr>
        <w:ind w:left="980" w:right="519" w:hanging="341"/>
        <w:spacing w:after="0" w:line="235" w:lineRule="auto"/>
        <w:tabs>
          <w:tab w:leader="none" w:pos="980" w:val="left"/>
        </w:tabs>
        <w:numPr>
          <w:ilvl w:val="0"/>
          <w:numId w:val="2"/>
        </w:numPr>
        <w:rPr>
          <w:rFonts w:ascii="Calibri" w:cs="Calibri" w:eastAsia="Calibri" w:hAnsi="Calibri"/>
          <w:sz w:val="14"/>
          <w:szCs w:val="14"/>
          <w:color w:val="auto"/>
        </w:rPr>
      </w:pPr>
      <w:r>
        <w:rPr>
          <w:rFonts w:ascii="Calibri" w:cs="Calibri" w:eastAsia="Calibri" w:hAnsi="Calibri"/>
          <w:sz w:val="14"/>
          <w:szCs w:val="14"/>
          <w:color w:val="auto"/>
        </w:rPr>
        <w:t>our manufacturing, commercializaton, and marketng capabilites and strategy, including transitoning the manufacturing of our product candidates to additonal countries, including countries in Europe;</w:t>
      </w:r>
    </w:p>
    <w:p>
      <w:pPr>
        <w:spacing w:after="0" w:line="92" w:lineRule="exact"/>
        <w:rPr>
          <w:rFonts w:ascii="Calibri" w:cs="Calibri" w:eastAsia="Calibri" w:hAnsi="Calibri"/>
          <w:sz w:val="14"/>
          <w:szCs w:val="14"/>
          <w:color w:val="auto"/>
        </w:rPr>
      </w:pPr>
    </w:p>
    <w:p>
      <w:pPr>
        <w:ind w:left="980" w:hanging="341"/>
        <w:spacing w:after="0"/>
        <w:tabs>
          <w:tab w:leader="none" w:pos="980" w:val="left"/>
        </w:tabs>
        <w:numPr>
          <w:ilvl w:val="0"/>
          <w:numId w:val="2"/>
        </w:numPr>
        <w:rPr>
          <w:rFonts w:ascii="Calibri" w:cs="Calibri" w:eastAsia="Calibri" w:hAnsi="Calibri"/>
          <w:sz w:val="14"/>
          <w:szCs w:val="14"/>
          <w:color w:val="auto"/>
        </w:rPr>
      </w:pPr>
      <w:r>
        <w:rPr>
          <w:rFonts w:ascii="Calibri" w:cs="Calibri" w:eastAsia="Calibri" w:hAnsi="Calibri"/>
          <w:sz w:val="14"/>
          <w:szCs w:val="14"/>
          <w:color w:val="auto"/>
        </w:rPr>
        <w:t>plans relatng to commercializing our product candidates, if approved, including the geographic areas of focus and sales strategy;</w:t>
      </w:r>
    </w:p>
    <w:p>
      <w:pPr>
        <w:spacing w:after="0" w:line="91" w:lineRule="exact"/>
        <w:rPr>
          <w:rFonts w:ascii="Calibri" w:cs="Calibri" w:eastAsia="Calibri" w:hAnsi="Calibri"/>
          <w:sz w:val="14"/>
          <w:szCs w:val="14"/>
          <w:color w:val="auto"/>
        </w:rPr>
      </w:pPr>
    </w:p>
    <w:p>
      <w:pPr>
        <w:ind w:left="980" w:hanging="341"/>
        <w:spacing w:after="0"/>
        <w:tabs>
          <w:tab w:leader="none" w:pos="980" w:val="left"/>
        </w:tabs>
        <w:numPr>
          <w:ilvl w:val="0"/>
          <w:numId w:val="2"/>
        </w:numPr>
        <w:rPr>
          <w:rFonts w:ascii="Calibri" w:cs="Calibri" w:eastAsia="Calibri" w:hAnsi="Calibri"/>
          <w:sz w:val="14"/>
          <w:szCs w:val="14"/>
          <w:color w:val="auto"/>
        </w:rPr>
      </w:pPr>
      <w:r>
        <w:rPr>
          <w:rFonts w:ascii="Calibri" w:cs="Calibri" w:eastAsia="Calibri" w:hAnsi="Calibri"/>
          <w:sz w:val="14"/>
          <w:szCs w:val="14"/>
          <w:color w:val="auto"/>
        </w:rPr>
        <w:t>the need to hire additonal personnel and our ability to atract and retain such personnel;</w:t>
      </w:r>
    </w:p>
    <w:p>
      <w:pPr>
        <w:spacing w:after="0" w:line="95" w:lineRule="exact"/>
        <w:rPr>
          <w:rFonts w:ascii="Calibri" w:cs="Calibri" w:eastAsia="Calibri" w:hAnsi="Calibri"/>
          <w:sz w:val="14"/>
          <w:szCs w:val="14"/>
          <w:color w:val="auto"/>
        </w:rPr>
      </w:pPr>
    </w:p>
    <w:p>
      <w:pPr>
        <w:ind w:left="980" w:right="419" w:hanging="341"/>
        <w:spacing w:after="0" w:line="235" w:lineRule="auto"/>
        <w:tabs>
          <w:tab w:leader="none" w:pos="980" w:val="left"/>
        </w:tabs>
        <w:numPr>
          <w:ilvl w:val="0"/>
          <w:numId w:val="2"/>
        </w:numPr>
        <w:rPr>
          <w:rFonts w:ascii="Calibri" w:cs="Calibri" w:eastAsia="Calibri" w:hAnsi="Calibri"/>
          <w:sz w:val="14"/>
          <w:szCs w:val="14"/>
          <w:color w:val="auto"/>
        </w:rPr>
      </w:pPr>
      <w:r>
        <w:rPr>
          <w:rFonts w:ascii="Calibri" w:cs="Calibri" w:eastAsia="Calibri" w:hAnsi="Calibri"/>
          <w:sz w:val="14"/>
          <w:szCs w:val="14"/>
          <w:color w:val="auto"/>
        </w:rPr>
        <w:t>the size of the market opportunity for our product candidates, including estmates of the number of patents who sufer from the diseases we are targetng;</w:t>
      </w:r>
    </w:p>
    <w:p>
      <w:pPr>
        <w:spacing w:after="0" w:line="92" w:lineRule="exact"/>
        <w:rPr>
          <w:rFonts w:ascii="Calibri" w:cs="Calibri" w:eastAsia="Calibri" w:hAnsi="Calibri"/>
          <w:sz w:val="14"/>
          <w:szCs w:val="14"/>
          <w:color w:val="auto"/>
        </w:rPr>
      </w:pPr>
    </w:p>
    <w:p>
      <w:pPr>
        <w:ind w:left="980" w:hanging="341"/>
        <w:spacing w:after="0"/>
        <w:tabs>
          <w:tab w:leader="none" w:pos="980" w:val="left"/>
        </w:tabs>
        <w:numPr>
          <w:ilvl w:val="0"/>
          <w:numId w:val="2"/>
        </w:numPr>
        <w:rPr>
          <w:rFonts w:ascii="Calibri" w:cs="Calibri" w:eastAsia="Calibri" w:hAnsi="Calibri"/>
          <w:sz w:val="14"/>
          <w:szCs w:val="14"/>
          <w:color w:val="auto"/>
        </w:rPr>
      </w:pPr>
      <w:r>
        <w:rPr>
          <w:rFonts w:ascii="Calibri" w:cs="Calibri" w:eastAsia="Calibri" w:hAnsi="Calibri"/>
          <w:sz w:val="14"/>
          <w:szCs w:val="14"/>
          <w:color w:val="auto"/>
        </w:rPr>
        <w:t>expectatons regarding the approval and use of our product candidates in combinaton with other drugs;</w:t>
      </w:r>
    </w:p>
    <w:p>
      <w:pPr>
        <w:spacing w:after="0" w:line="91" w:lineRule="exact"/>
        <w:rPr>
          <w:rFonts w:ascii="Calibri" w:cs="Calibri" w:eastAsia="Calibri" w:hAnsi="Calibri"/>
          <w:sz w:val="14"/>
          <w:szCs w:val="14"/>
          <w:color w:val="auto"/>
        </w:rPr>
      </w:pPr>
    </w:p>
    <w:p>
      <w:pPr>
        <w:ind w:left="980" w:hanging="341"/>
        <w:spacing w:after="0"/>
        <w:tabs>
          <w:tab w:leader="none" w:pos="980" w:val="left"/>
        </w:tabs>
        <w:numPr>
          <w:ilvl w:val="0"/>
          <w:numId w:val="2"/>
        </w:numPr>
        <w:rPr>
          <w:rFonts w:ascii="Calibri" w:cs="Calibri" w:eastAsia="Calibri" w:hAnsi="Calibri"/>
          <w:sz w:val="14"/>
          <w:szCs w:val="14"/>
          <w:color w:val="auto"/>
        </w:rPr>
      </w:pPr>
      <w:r>
        <w:rPr>
          <w:rFonts w:ascii="Calibri" w:cs="Calibri" w:eastAsia="Calibri" w:hAnsi="Calibri"/>
          <w:sz w:val="14"/>
          <w:szCs w:val="14"/>
          <w:color w:val="auto"/>
        </w:rPr>
        <w:t>our ability to secure drug product for combinaton studies and for comparator arms in our clinical trials;</w:t>
      </w:r>
    </w:p>
    <w:p>
      <w:pPr>
        <w:spacing w:after="0" w:line="91" w:lineRule="exact"/>
        <w:rPr>
          <w:rFonts w:ascii="Calibri" w:cs="Calibri" w:eastAsia="Calibri" w:hAnsi="Calibri"/>
          <w:sz w:val="14"/>
          <w:szCs w:val="14"/>
          <w:color w:val="auto"/>
        </w:rPr>
      </w:pPr>
    </w:p>
    <w:p>
      <w:pPr>
        <w:ind w:left="980" w:hanging="341"/>
        <w:spacing w:after="0"/>
        <w:tabs>
          <w:tab w:leader="none" w:pos="980" w:val="left"/>
        </w:tabs>
        <w:numPr>
          <w:ilvl w:val="0"/>
          <w:numId w:val="2"/>
        </w:numPr>
        <w:rPr>
          <w:rFonts w:ascii="Calibri" w:cs="Calibri" w:eastAsia="Calibri" w:hAnsi="Calibri"/>
          <w:sz w:val="14"/>
          <w:szCs w:val="14"/>
          <w:color w:val="auto"/>
        </w:rPr>
      </w:pPr>
      <w:r>
        <w:rPr>
          <w:rFonts w:ascii="Calibri" w:cs="Calibri" w:eastAsia="Calibri" w:hAnsi="Calibri"/>
          <w:sz w:val="14"/>
          <w:szCs w:val="14"/>
          <w:color w:val="auto"/>
        </w:rPr>
        <w:t>our development of a companion diagnostc in connecton with the regulatory approval of any of our product candidates, if required;</w:t>
      </w:r>
    </w:p>
    <w:p>
      <w:pPr>
        <w:spacing w:after="0" w:line="91" w:lineRule="exact"/>
        <w:rPr>
          <w:rFonts w:ascii="Calibri" w:cs="Calibri" w:eastAsia="Calibri" w:hAnsi="Calibri"/>
          <w:sz w:val="14"/>
          <w:szCs w:val="14"/>
          <w:color w:val="auto"/>
        </w:rPr>
      </w:pPr>
    </w:p>
    <w:p>
      <w:pPr>
        <w:ind w:left="980" w:hanging="341"/>
        <w:spacing w:after="0"/>
        <w:tabs>
          <w:tab w:leader="none" w:pos="980" w:val="left"/>
        </w:tabs>
        <w:numPr>
          <w:ilvl w:val="0"/>
          <w:numId w:val="2"/>
        </w:numPr>
        <w:rPr>
          <w:rFonts w:ascii="Calibri" w:cs="Calibri" w:eastAsia="Calibri" w:hAnsi="Calibri"/>
          <w:sz w:val="14"/>
          <w:szCs w:val="14"/>
          <w:color w:val="auto"/>
        </w:rPr>
      </w:pPr>
      <w:r>
        <w:rPr>
          <w:rFonts w:ascii="Calibri" w:cs="Calibri" w:eastAsia="Calibri" w:hAnsi="Calibri"/>
          <w:sz w:val="14"/>
          <w:szCs w:val="14"/>
          <w:color w:val="auto"/>
        </w:rPr>
        <w:t>expectatons regarding potental for accelerated approval or other expedited regulatory designaton;</w:t>
      </w:r>
    </w:p>
    <w:p>
      <w:pPr>
        <w:spacing w:after="0" w:line="113" w:lineRule="exact"/>
        <w:rPr>
          <w:sz w:val="20"/>
          <w:szCs w:val="20"/>
          <w:color w:val="auto"/>
        </w:rPr>
      </w:pPr>
    </w:p>
    <w:p>
      <w:pPr>
        <w:jc w:val="center"/>
        <w:ind w:right="19"/>
        <w:spacing w:after="0"/>
        <w:rPr>
          <w:sz w:val="20"/>
          <w:szCs w:val="20"/>
          <w:color w:val="auto"/>
        </w:rPr>
      </w:pPr>
      <w:r>
        <w:rPr>
          <w:rFonts w:ascii="Calibri" w:cs="Calibri" w:eastAsia="Calibri" w:hAnsi="Calibri"/>
          <w:sz w:val="14"/>
          <w:szCs w:val="14"/>
          <w:color w:val="auto"/>
        </w:rPr>
        <w:t>S-4</w:t>
      </w:r>
    </w:p>
    <w:p>
      <w:pPr>
        <w:sectPr>
          <w:pgSz w:w="11900" w:h="16838" w:orient="portrait"/>
          <w:cols w:equalWidth="0" w:num="1">
            <w:col w:w="9019"/>
          </w:cols>
          <w:pgMar w:left="1440" w:top="234" w:right="1440" w:bottom="1440" w:gutter="0" w:footer="0" w:header="0"/>
        </w:sectPr>
      </w:pPr>
    </w:p>
    <w:bookmarkStart w:id="6" w:name="page7"/>
    <w:bookmarkEnd w:id="6"/>
    <w:p>
      <w:pPr>
        <w:ind w:left="980" w:right="299" w:hanging="341"/>
        <w:spacing w:after="0" w:line="235" w:lineRule="auto"/>
        <w:tabs>
          <w:tab w:leader="none" w:pos="980" w:val="left"/>
        </w:tabs>
        <w:numPr>
          <w:ilvl w:val="0"/>
          <w:numId w:val="3"/>
        </w:numPr>
        <w:rPr>
          <w:rFonts w:ascii="Calibri" w:cs="Calibri" w:eastAsia="Calibri" w:hAnsi="Calibri"/>
          <w:sz w:val="14"/>
          <w:szCs w:val="14"/>
          <w:color w:val="auto"/>
        </w:rPr>
      </w:pPr>
      <w:r>
        <w:rPr>
          <w:rFonts w:ascii="Calibri" w:cs="Calibri" w:eastAsia="Calibri" w:hAnsi="Calibri"/>
          <w:sz w:val="14"/>
          <w:szCs w:val="14"/>
          <w:color w:val="auto"/>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01535" cy="33020"/>
                    </a:xfrm>
                    <a:prstGeom prst="rect">
                      <a:avLst/>
                    </a:prstGeom>
                    <a:noFill/>
                  </pic:spPr>
                </pic:pic>
              </a:graphicData>
            </a:graphic>
          </wp:anchor>
        </w:drawing>
        <w:t>our compettve positon and the success of competng therapies that are or may become available and the ability of our product candidates to compete with such competng therapies;</w:t>
      </w:r>
    </w:p>
    <w:p>
      <w:pPr>
        <w:spacing w:after="0" w:line="92" w:lineRule="exact"/>
        <w:rPr>
          <w:rFonts w:ascii="Calibri" w:cs="Calibri" w:eastAsia="Calibri" w:hAnsi="Calibri"/>
          <w:sz w:val="14"/>
          <w:szCs w:val="14"/>
          <w:color w:val="auto"/>
        </w:rPr>
      </w:pPr>
    </w:p>
    <w:p>
      <w:pPr>
        <w:ind w:left="980" w:hanging="341"/>
        <w:spacing w:after="0"/>
        <w:tabs>
          <w:tab w:leader="none" w:pos="980" w:val="left"/>
        </w:tabs>
        <w:numPr>
          <w:ilvl w:val="0"/>
          <w:numId w:val="3"/>
        </w:numPr>
        <w:rPr>
          <w:rFonts w:ascii="Calibri" w:cs="Calibri" w:eastAsia="Calibri" w:hAnsi="Calibri"/>
          <w:sz w:val="14"/>
          <w:szCs w:val="14"/>
          <w:color w:val="auto"/>
        </w:rPr>
      </w:pPr>
      <w:r>
        <w:rPr>
          <w:rFonts w:ascii="Calibri" w:cs="Calibri" w:eastAsia="Calibri" w:hAnsi="Calibri"/>
          <w:sz w:val="14"/>
          <w:szCs w:val="14"/>
          <w:color w:val="auto"/>
        </w:rPr>
        <w:t>estmates of the number of patents that we will enroll in our clinical trials;</w:t>
      </w:r>
    </w:p>
    <w:p>
      <w:pPr>
        <w:spacing w:after="0" w:line="91" w:lineRule="exact"/>
        <w:rPr>
          <w:rFonts w:ascii="Calibri" w:cs="Calibri" w:eastAsia="Calibri" w:hAnsi="Calibri"/>
          <w:sz w:val="14"/>
          <w:szCs w:val="14"/>
          <w:color w:val="auto"/>
        </w:rPr>
      </w:pPr>
    </w:p>
    <w:p>
      <w:pPr>
        <w:ind w:left="980" w:hanging="341"/>
        <w:spacing w:after="0"/>
        <w:tabs>
          <w:tab w:leader="none" w:pos="980" w:val="left"/>
        </w:tabs>
        <w:numPr>
          <w:ilvl w:val="0"/>
          <w:numId w:val="3"/>
        </w:numPr>
        <w:rPr>
          <w:rFonts w:ascii="Calibri" w:cs="Calibri" w:eastAsia="Calibri" w:hAnsi="Calibri"/>
          <w:sz w:val="14"/>
          <w:szCs w:val="14"/>
          <w:color w:val="auto"/>
        </w:rPr>
      </w:pPr>
      <w:r>
        <w:rPr>
          <w:rFonts w:ascii="Calibri" w:cs="Calibri" w:eastAsia="Calibri" w:hAnsi="Calibri"/>
          <w:sz w:val="14"/>
          <w:szCs w:val="14"/>
          <w:color w:val="auto"/>
        </w:rPr>
        <w:t>the benefcial characteristcs, and the potental safety, efcacy and therapeutc efects of our product candidates;</w:t>
      </w:r>
    </w:p>
    <w:p>
      <w:pPr>
        <w:spacing w:after="0" w:line="95" w:lineRule="exact"/>
        <w:rPr>
          <w:rFonts w:ascii="Calibri" w:cs="Calibri" w:eastAsia="Calibri" w:hAnsi="Calibri"/>
          <w:sz w:val="14"/>
          <w:szCs w:val="14"/>
          <w:color w:val="auto"/>
        </w:rPr>
      </w:pPr>
    </w:p>
    <w:p>
      <w:pPr>
        <w:ind w:left="980" w:hanging="341"/>
        <w:spacing w:after="0"/>
        <w:tabs>
          <w:tab w:leader="none" w:pos="980" w:val="left"/>
        </w:tabs>
        <w:numPr>
          <w:ilvl w:val="0"/>
          <w:numId w:val="3"/>
        </w:numPr>
        <w:rPr>
          <w:rFonts w:ascii="Calibri" w:cs="Calibri" w:eastAsia="Calibri" w:hAnsi="Calibri"/>
          <w:sz w:val="13"/>
          <w:szCs w:val="13"/>
          <w:color w:val="auto"/>
        </w:rPr>
      </w:pPr>
      <w:r>
        <w:rPr>
          <w:rFonts w:ascii="Calibri" w:cs="Calibri" w:eastAsia="Calibri" w:hAnsi="Calibri"/>
          <w:sz w:val="13"/>
          <w:szCs w:val="13"/>
          <w:color w:val="auto"/>
        </w:rPr>
        <w:t>our ability to obtain and maintain regulatory approval of our product candidates and our expectatons regarding partcular lines of therapy;</w:t>
      </w:r>
    </w:p>
    <w:p>
      <w:pPr>
        <w:spacing w:after="0" w:line="99" w:lineRule="exact"/>
        <w:rPr>
          <w:rFonts w:ascii="Calibri" w:cs="Calibri" w:eastAsia="Calibri" w:hAnsi="Calibri"/>
          <w:sz w:val="13"/>
          <w:szCs w:val="13"/>
          <w:color w:val="auto"/>
        </w:rPr>
      </w:pPr>
    </w:p>
    <w:p>
      <w:pPr>
        <w:ind w:left="980" w:hanging="341"/>
        <w:spacing w:after="0"/>
        <w:tabs>
          <w:tab w:leader="none" w:pos="980" w:val="left"/>
        </w:tabs>
        <w:numPr>
          <w:ilvl w:val="0"/>
          <w:numId w:val="3"/>
        </w:numPr>
        <w:rPr>
          <w:rFonts w:ascii="Calibri" w:cs="Calibri" w:eastAsia="Calibri" w:hAnsi="Calibri"/>
          <w:sz w:val="14"/>
          <w:szCs w:val="14"/>
          <w:color w:val="auto"/>
        </w:rPr>
      </w:pPr>
      <w:r>
        <w:rPr>
          <w:rFonts w:ascii="Calibri" w:cs="Calibri" w:eastAsia="Calibri" w:hAnsi="Calibri"/>
          <w:sz w:val="14"/>
          <w:szCs w:val="14"/>
          <w:color w:val="auto"/>
        </w:rPr>
        <w:t>plans relatng to the further development of our product candidates, including additonal indicatons we may pursue;</w:t>
      </w:r>
    </w:p>
    <w:p>
      <w:pPr>
        <w:spacing w:after="0" w:line="91" w:lineRule="exact"/>
        <w:rPr>
          <w:rFonts w:ascii="Calibri" w:cs="Calibri" w:eastAsia="Calibri" w:hAnsi="Calibri"/>
          <w:sz w:val="14"/>
          <w:szCs w:val="14"/>
          <w:color w:val="auto"/>
        </w:rPr>
      </w:pPr>
    </w:p>
    <w:p>
      <w:pPr>
        <w:ind w:left="980" w:hanging="341"/>
        <w:spacing w:after="0"/>
        <w:tabs>
          <w:tab w:leader="none" w:pos="980" w:val="left"/>
        </w:tabs>
        <w:numPr>
          <w:ilvl w:val="0"/>
          <w:numId w:val="3"/>
        </w:numPr>
        <w:rPr>
          <w:rFonts w:ascii="Calibri" w:cs="Calibri" w:eastAsia="Calibri" w:hAnsi="Calibri"/>
          <w:sz w:val="14"/>
          <w:szCs w:val="14"/>
          <w:color w:val="auto"/>
        </w:rPr>
      </w:pPr>
      <w:r>
        <w:rPr>
          <w:rFonts w:ascii="Calibri" w:cs="Calibri" w:eastAsia="Calibri" w:hAnsi="Calibri"/>
          <w:sz w:val="14"/>
          <w:szCs w:val="14"/>
          <w:color w:val="auto"/>
        </w:rPr>
        <w:t>existng regulatons and regulatory developments in the United States, Europe and other jurisdictons;</w:t>
      </w:r>
    </w:p>
    <w:p>
      <w:pPr>
        <w:spacing w:after="0" w:line="95" w:lineRule="exact"/>
        <w:rPr>
          <w:rFonts w:ascii="Calibri" w:cs="Calibri" w:eastAsia="Calibri" w:hAnsi="Calibri"/>
          <w:sz w:val="14"/>
          <w:szCs w:val="14"/>
          <w:color w:val="auto"/>
        </w:rPr>
      </w:pPr>
    </w:p>
    <w:p>
      <w:pPr>
        <w:ind w:left="980" w:hanging="341"/>
        <w:spacing w:after="0"/>
        <w:tabs>
          <w:tab w:leader="none" w:pos="980" w:val="left"/>
        </w:tabs>
        <w:numPr>
          <w:ilvl w:val="0"/>
          <w:numId w:val="3"/>
        </w:numPr>
        <w:rPr>
          <w:rFonts w:ascii="Calibri" w:cs="Calibri" w:eastAsia="Calibri" w:hAnsi="Calibri"/>
          <w:sz w:val="13"/>
          <w:szCs w:val="13"/>
          <w:color w:val="auto"/>
        </w:rPr>
      </w:pPr>
      <w:r>
        <w:rPr>
          <w:rFonts w:ascii="Calibri" w:cs="Calibri" w:eastAsia="Calibri" w:hAnsi="Calibri"/>
          <w:sz w:val="13"/>
          <w:szCs w:val="13"/>
          <w:color w:val="auto"/>
        </w:rPr>
        <w:t>expectatons regarding the impact of public health emergencies, health epidemics (including COVID-19) or other outbreaks on our business;</w:t>
      </w:r>
    </w:p>
    <w:p>
      <w:pPr>
        <w:spacing w:after="0" w:line="103" w:lineRule="exact"/>
        <w:rPr>
          <w:rFonts w:ascii="Calibri" w:cs="Calibri" w:eastAsia="Calibri" w:hAnsi="Calibri"/>
          <w:sz w:val="13"/>
          <w:szCs w:val="13"/>
          <w:color w:val="auto"/>
        </w:rPr>
      </w:pPr>
    </w:p>
    <w:p>
      <w:pPr>
        <w:ind w:left="980" w:right="499" w:hanging="341"/>
        <w:spacing w:after="0" w:line="266" w:lineRule="auto"/>
        <w:tabs>
          <w:tab w:leader="none" w:pos="980" w:val="left"/>
        </w:tabs>
        <w:numPr>
          <w:ilvl w:val="0"/>
          <w:numId w:val="3"/>
        </w:numPr>
        <w:rPr>
          <w:rFonts w:ascii="Calibri" w:cs="Calibri" w:eastAsia="Calibri" w:hAnsi="Calibri"/>
          <w:sz w:val="13"/>
          <w:szCs w:val="13"/>
          <w:color w:val="auto"/>
        </w:rPr>
      </w:pPr>
      <w:r>
        <w:rPr>
          <w:rFonts w:ascii="Calibri" w:cs="Calibri" w:eastAsia="Calibri" w:hAnsi="Calibri"/>
          <w:sz w:val="13"/>
          <w:szCs w:val="13"/>
          <w:color w:val="auto"/>
        </w:rPr>
        <w:t>our expectatons regarding conditons and risks related to government shutdowns, the impact of instability in the banking and fnancial services sector, the Russia-Ukraine confict and conficts in the Middle East (including the Iran confict) and other macroeconomic trends;</w:t>
      </w:r>
    </w:p>
    <w:p>
      <w:pPr>
        <w:spacing w:after="0" w:line="74" w:lineRule="exact"/>
        <w:rPr>
          <w:rFonts w:ascii="Calibri" w:cs="Calibri" w:eastAsia="Calibri" w:hAnsi="Calibri"/>
          <w:sz w:val="13"/>
          <w:szCs w:val="13"/>
          <w:color w:val="auto"/>
        </w:rPr>
      </w:pPr>
    </w:p>
    <w:p>
      <w:pPr>
        <w:ind w:left="980" w:hanging="341"/>
        <w:spacing w:after="0"/>
        <w:tabs>
          <w:tab w:leader="none" w:pos="980" w:val="left"/>
        </w:tabs>
        <w:numPr>
          <w:ilvl w:val="0"/>
          <w:numId w:val="3"/>
        </w:numPr>
        <w:rPr>
          <w:rFonts w:ascii="Calibri" w:cs="Calibri" w:eastAsia="Calibri" w:hAnsi="Calibri"/>
          <w:sz w:val="14"/>
          <w:szCs w:val="14"/>
          <w:color w:val="auto"/>
        </w:rPr>
      </w:pPr>
      <w:r>
        <w:rPr>
          <w:rFonts w:ascii="Calibri" w:cs="Calibri" w:eastAsia="Calibri" w:hAnsi="Calibri"/>
          <w:sz w:val="14"/>
          <w:szCs w:val="14"/>
          <w:color w:val="auto"/>
        </w:rPr>
        <w:t>our expectatons regarding the changes in government administraton policy positons as a result of the current presidental administraton;</w:t>
      </w:r>
    </w:p>
    <w:p>
      <w:pPr>
        <w:spacing w:after="0" w:line="95" w:lineRule="exact"/>
        <w:rPr>
          <w:rFonts w:ascii="Calibri" w:cs="Calibri" w:eastAsia="Calibri" w:hAnsi="Calibri"/>
          <w:sz w:val="14"/>
          <w:szCs w:val="14"/>
          <w:color w:val="auto"/>
        </w:rPr>
      </w:pPr>
    </w:p>
    <w:p>
      <w:pPr>
        <w:ind w:left="980" w:right="479" w:hanging="341"/>
        <w:spacing w:after="0" w:line="235" w:lineRule="auto"/>
        <w:tabs>
          <w:tab w:leader="none" w:pos="980" w:val="left"/>
        </w:tabs>
        <w:numPr>
          <w:ilvl w:val="0"/>
          <w:numId w:val="3"/>
        </w:numPr>
        <w:rPr>
          <w:rFonts w:ascii="Calibri" w:cs="Calibri" w:eastAsia="Calibri" w:hAnsi="Calibri"/>
          <w:sz w:val="14"/>
          <w:szCs w:val="14"/>
          <w:color w:val="auto"/>
        </w:rPr>
      </w:pPr>
      <w:r>
        <w:rPr>
          <w:rFonts w:ascii="Calibri" w:cs="Calibri" w:eastAsia="Calibri" w:hAnsi="Calibri"/>
          <w:sz w:val="14"/>
          <w:szCs w:val="14"/>
          <w:color w:val="auto"/>
        </w:rPr>
        <w:t>our intellectual property positon, including the scope of protecton we are able to establish and maintain for intellectual property rights covering ELVN-001 from our BCR-ABL program and other product candidates we may develop, including the extensions of existng patent terms where available, the validity of intellectual property rights held by third partes, and our ability not to infringe, misappropriate or otherwise violate any third-party intellectual property rights;</w:t>
      </w:r>
    </w:p>
    <w:p>
      <w:pPr>
        <w:spacing w:after="0" w:line="97" w:lineRule="exact"/>
        <w:rPr>
          <w:rFonts w:ascii="Calibri" w:cs="Calibri" w:eastAsia="Calibri" w:hAnsi="Calibri"/>
          <w:sz w:val="14"/>
          <w:szCs w:val="14"/>
          <w:color w:val="auto"/>
        </w:rPr>
      </w:pPr>
    </w:p>
    <w:p>
      <w:pPr>
        <w:ind w:left="980" w:right="259" w:hanging="341"/>
        <w:spacing w:after="0" w:line="235" w:lineRule="auto"/>
        <w:tabs>
          <w:tab w:leader="none" w:pos="980" w:val="left"/>
        </w:tabs>
        <w:numPr>
          <w:ilvl w:val="0"/>
          <w:numId w:val="3"/>
        </w:numPr>
        <w:rPr>
          <w:rFonts w:ascii="Calibri" w:cs="Calibri" w:eastAsia="Calibri" w:hAnsi="Calibri"/>
          <w:sz w:val="14"/>
          <w:szCs w:val="14"/>
          <w:color w:val="auto"/>
        </w:rPr>
      </w:pPr>
      <w:r>
        <w:rPr>
          <w:rFonts w:ascii="Calibri" w:cs="Calibri" w:eastAsia="Calibri" w:hAnsi="Calibri"/>
          <w:sz w:val="14"/>
          <w:szCs w:val="14"/>
          <w:color w:val="auto"/>
        </w:rPr>
        <w:t>our contnued reliance on third partes to conduct additonal clinical trials of our product candidates, and for the manufacture of our product candidates for clinical trials;</w:t>
      </w:r>
    </w:p>
    <w:p>
      <w:pPr>
        <w:spacing w:after="0" w:line="92" w:lineRule="exact"/>
        <w:rPr>
          <w:rFonts w:ascii="Calibri" w:cs="Calibri" w:eastAsia="Calibri" w:hAnsi="Calibri"/>
          <w:sz w:val="14"/>
          <w:szCs w:val="14"/>
          <w:color w:val="auto"/>
        </w:rPr>
      </w:pPr>
    </w:p>
    <w:p>
      <w:pPr>
        <w:ind w:left="980" w:hanging="341"/>
        <w:spacing w:after="0"/>
        <w:tabs>
          <w:tab w:leader="none" w:pos="980" w:val="left"/>
        </w:tabs>
        <w:numPr>
          <w:ilvl w:val="0"/>
          <w:numId w:val="3"/>
        </w:numPr>
        <w:rPr>
          <w:rFonts w:ascii="Calibri" w:cs="Calibri" w:eastAsia="Calibri" w:hAnsi="Calibri"/>
          <w:sz w:val="14"/>
          <w:szCs w:val="14"/>
          <w:color w:val="auto"/>
        </w:rPr>
      </w:pPr>
      <w:r>
        <w:rPr>
          <w:rFonts w:ascii="Calibri" w:cs="Calibri" w:eastAsia="Calibri" w:hAnsi="Calibri"/>
          <w:sz w:val="14"/>
          <w:szCs w:val="14"/>
          <w:color w:val="auto"/>
        </w:rPr>
        <w:t>our relatonships with patent advocacy groups, key opinion leaders, regulators, the research community and payors;</w:t>
      </w:r>
    </w:p>
    <w:p>
      <w:pPr>
        <w:spacing w:after="0" w:line="95" w:lineRule="exact"/>
        <w:rPr>
          <w:rFonts w:ascii="Calibri" w:cs="Calibri" w:eastAsia="Calibri" w:hAnsi="Calibri"/>
          <w:sz w:val="14"/>
          <w:szCs w:val="14"/>
          <w:color w:val="auto"/>
        </w:rPr>
      </w:pPr>
    </w:p>
    <w:p>
      <w:pPr>
        <w:ind w:left="980" w:right="799" w:hanging="341"/>
        <w:spacing w:after="0" w:line="235" w:lineRule="auto"/>
        <w:tabs>
          <w:tab w:leader="none" w:pos="980" w:val="left"/>
        </w:tabs>
        <w:numPr>
          <w:ilvl w:val="0"/>
          <w:numId w:val="3"/>
        </w:numPr>
        <w:rPr>
          <w:rFonts w:ascii="Calibri" w:cs="Calibri" w:eastAsia="Calibri" w:hAnsi="Calibri"/>
          <w:sz w:val="14"/>
          <w:szCs w:val="14"/>
          <w:color w:val="auto"/>
        </w:rPr>
      </w:pPr>
      <w:r>
        <w:rPr>
          <w:rFonts w:ascii="Calibri" w:cs="Calibri" w:eastAsia="Calibri" w:hAnsi="Calibri"/>
          <w:sz w:val="14"/>
          <w:szCs w:val="14"/>
          <w:color w:val="auto"/>
        </w:rPr>
        <w:t>our ability to obtain, and negotate favorable terms of, any collaboraton, licensing, drug supply, or other arrangements that may be necessary or desirable to develop, manufacture or commercialize our product candidates;</w:t>
      </w:r>
    </w:p>
    <w:p>
      <w:pPr>
        <w:spacing w:after="0" w:line="92" w:lineRule="exact"/>
        <w:rPr>
          <w:rFonts w:ascii="Calibri" w:cs="Calibri" w:eastAsia="Calibri" w:hAnsi="Calibri"/>
          <w:sz w:val="14"/>
          <w:szCs w:val="14"/>
          <w:color w:val="auto"/>
        </w:rPr>
      </w:pPr>
    </w:p>
    <w:p>
      <w:pPr>
        <w:ind w:left="980" w:hanging="341"/>
        <w:spacing w:after="0"/>
        <w:tabs>
          <w:tab w:leader="none" w:pos="980" w:val="left"/>
        </w:tabs>
        <w:numPr>
          <w:ilvl w:val="0"/>
          <w:numId w:val="3"/>
        </w:numPr>
        <w:rPr>
          <w:rFonts w:ascii="Calibri" w:cs="Calibri" w:eastAsia="Calibri" w:hAnsi="Calibri"/>
          <w:sz w:val="14"/>
          <w:szCs w:val="14"/>
          <w:color w:val="auto"/>
        </w:rPr>
      </w:pPr>
      <w:r>
        <w:rPr>
          <w:rFonts w:ascii="Calibri" w:cs="Calibri" w:eastAsia="Calibri" w:hAnsi="Calibri"/>
          <w:sz w:val="14"/>
          <w:szCs w:val="14"/>
          <w:color w:val="auto"/>
        </w:rPr>
        <w:t>the pricing and reimbursement of ELVN-001 from our BCR-ABL program and other product candidates we may develop, if approved;</w:t>
      </w:r>
    </w:p>
    <w:p>
      <w:pPr>
        <w:spacing w:after="0" w:line="95" w:lineRule="exact"/>
        <w:rPr>
          <w:rFonts w:ascii="Calibri" w:cs="Calibri" w:eastAsia="Calibri" w:hAnsi="Calibri"/>
          <w:sz w:val="14"/>
          <w:szCs w:val="14"/>
          <w:color w:val="auto"/>
        </w:rPr>
      </w:pPr>
    </w:p>
    <w:p>
      <w:pPr>
        <w:ind w:left="980" w:right="359" w:hanging="341"/>
        <w:spacing w:after="0" w:line="235" w:lineRule="auto"/>
        <w:tabs>
          <w:tab w:leader="none" w:pos="980" w:val="left"/>
        </w:tabs>
        <w:numPr>
          <w:ilvl w:val="0"/>
          <w:numId w:val="3"/>
        </w:numPr>
        <w:rPr>
          <w:rFonts w:ascii="Calibri" w:cs="Calibri" w:eastAsia="Calibri" w:hAnsi="Calibri"/>
          <w:sz w:val="14"/>
          <w:szCs w:val="14"/>
          <w:color w:val="auto"/>
        </w:rPr>
      </w:pPr>
      <w:r>
        <w:rPr>
          <w:rFonts w:ascii="Calibri" w:cs="Calibri" w:eastAsia="Calibri" w:hAnsi="Calibri"/>
          <w:sz w:val="14"/>
          <w:szCs w:val="14"/>
          <w:color w:val="auto"/>
        </w:rPr>
        <w:t>the rate and degree of market acceptance and clinical utlity of ELVN-001 from our BCR-ABL program and other product candidates we may develop;</w:t>
      </w:r>
    </w:p>
    <w:p>
      <w:pPr>
        <w:spacing w:after="0" w:line="92" w:lineRule="exact"/>
        <w:rPr>
          <w:rFonts w:ascii="Calibri" w:cs="Calibri" w:eastAsia="Calibri" w:hAnsi="Calibri"/>
          <w:sz w:val="14"/>
          <w:szCs w:val="14"/>
          <w:color w:val="auto"/>
        </w:rPr>
      </w:pPr>
    </w:p>
    <w:p>
      <w:pPr>
        <w:ind w:left="980" w:hanging="341"/>
        <w:spacing w:after="0"/>
        <w:tabs>
          <w:tab w:leader="none" w:pos="980" w:val="left"/>
        </w:tabs>
        <w:numPr>
          <w:ilvl w:val="0"/>
          <w:numId w:val="3"/>
        </w:numPr>
        <w:rPr>
          <w:rFonts w:ascii="Calibri" w:cs="Calibri" w:eastAsia="Calibri" w:hAnsi="Calibri"/>
          <w:sz w:val="14"/>
          <w:szCs w:val="14"/>
          <w:color w:val="auto"/>
        </w:rPr>
      </w:pPr>
      <w:r>
        <w:rPr>
          <w:rFonts w:ascii="Calibri" w:cs="Calibri" w:eastAsia="Calibri" w:hAnsi="Calibri"/>
          <w:sz w:val="14"/>
          <w:szCs w:val="14"/>
          <w:color w:val="auto"/>
        </w:rPr>
        <w:t>our estmates regarding expenses, future revenue, capital requirements and needs for additonal fnancing;</w:t>
      </w:r>
    </w:p>
    <w:p>
      <w:pPr>
        <w:spacing w:after="0" w:line="91" w:lineRule="exact"/>
        <w:rPr>
          <w:rFonts w:ascii="Calibri" w:cs="Calibri" w:eastAsia="Calibri" w:hAnsi="Calibri"/>
          <w:sz w:val="14"/>
          <w:szCs w:val="14"/>
          <w:color w:val="auto"/>
        </w:rPr>
      </w:pPr>
    </w:p>
    <w:p>
      <w:pPr>
        <w:ind w:left="980" w:hanging="341"/>
        <w:spacing w:after="0"/>
        <w:tabs>
          <w:tab w:leader="none" w:pos="980" w:val="left"/>
        </w:tabs>
        <w:numPr>
          <w:ilvl w:val="0"/>
          <w:numId w:val="3"/>
        </w:numPr>
        <w:rPr>
          <w:rFonts w:ascii="Calibri" w:cs="Calibri" w:eastAsia="Calibri" w:hAnsi="Calibri"/>
          <w:sz w:val="14"/>
          <w:szCs w:val="14"/>
          <w:color w:val="auto"/>
        </w:rPr>
      </w:pPr>
      <w:r>
        <w:rPr>
          <w:rFonts w:ascii="Calibri" w:cs="Calibri" w:eastAsia="Calibri" w:hAnsi="Calibri"/>
          <w:sz w:val="14"/>
          <w:szCs w:val="14"/>
          <w:color w:val="auto"/>
        </w:rPr>
        <w:t>our expectatons regarding sales of our common stock made pursuant to the Sales Agreement (as defned below);</w:t>
      </w:r>
    </w:p>
    <w:p>
      <w:pPr>
        <w:spacing w:after="0" w:line="91" w:lineRule="exact"/>
        <w:rPr>
          <w:rFonts w:ascii="Calibri" w:cs="Calibri" w:eastAsia="Calibri" w:hAnsi="Calibri"/>
          <w:sz w:val="14"/>
          <w:szCs w:val="14"/>
          <w:color w:val="auto"/>
        </w:rPr>
      </w:pPr>
    </w:p>
    <w:p>
      <w:pPr>
        <w:ind w:left="980" w:hanging="341"/>
        <w:spacing w:after="0"/>
        <w:tabs>
          <w:tab w:leader="none" w:pos="980" w:val="left"/>
        </w:tabs>
        <w:numPr>
          <w:ilvl w:val="0"/>
          <w:numId w:val="3"/>
        </w:numPr>
        <w:rPr>
          <w:rFonts w:ascii="Calibri" w:cs="Calibri" w:eastAsia="Calibri" w:hAnsi="Calibri"/>
          <w:sz w:val="14"/>
          <w:szCs w:val="14"/>
          <w:color w:val="auto"/>
        </w:rPr>
      </w:pPr>
      <w:r>
        <w:rPr>
          <w:rFonts w:ascii="Calibri" w:cs="Calibri" w:eastAsia="Calibri" w:hAnsi="Calibri"/>
          <w:sz w:val="14"/>
          <w:szCs w:val="14"/>
          <w:color w:val="auto"/>
        </w:rPr>
        <w:t>our fnancial performance;</w:t>
      </w:r>
    </w:p>
    <w:p>
      <w:pPr>
        <w:spacing w:after="0" w:line="95" w:lineRule="exact"/>
        <w:rPr>
          <w:rFonts w:ascii="Calibri" w:cs="Calibri" w:eastAsia="Calibri" w:hAnsi="Calibri"/>
          <w:sz w:val="14"/>
          <w:szCs w:val="14"/>
          <w:color w:val="auto"/>
        </w:rPr>
      </w:pPr>
    </w:p>
    <w:p>
      <w:pPr>
        <w:ind w:left="980" w:right="659" w:hanging="341"/>
        <w:spacing w:after="0" w:line="235" w:lineRule="auto"/>
        <w:tabs>
          <w:tab w:leader="none" w:pos="980" w:val="left"/>
        </w:tabs>
        <w:numPr>
          <w:ilvl w:val="0"/>
          <w:numId w:val="3"/>
        </w:numPr>
        <w:rPr>
          <w:rFonts w:ascii="Calibri" w:cs="Calibri" w:eastAsia="Calibri" w:hAnsi="Calibri"/>
          <w:sz w:val="14"/>
          <w:szCs w:val="14"/>
          <w:color w:val="auto"/>
        </w:rPr>
      </w:pPr>
      <w:r>
        <w:rPr>
          <w:rFonts w:ascii="Calibri" w:cs="Calibri" w:eastAsia="Calibri" w:hAnsi="Calibri"/>
          <w:sz w:val="14"/>
          <w:szCs w:val="14"/>
          <w:color w:val="auto"/>
        </w:rPr>
        <w:t>the period over which we estmate our existng cash, cash equivalents and marketable securites will be sufcient to fund our planned operatng expenses and capital expenditure requirements;</w:t>
      </w:r>
    </w:p>
    <w:p>
      <w:pPr>
        <w:spacing w:after="0" w:line="92" w:lineRule="exact"/>
        <w:rPr>
          <w:rFonts w:ascii="Calibri" w:cs="Calibri" w:eastAsia="Calibri" w:hAnsi="Calibri"/>
          <w:sz w:val="14"/>
          <w:szCs w:val="14"/>
          <w:color w:val="auto"/>
        </w:rPr>
      </w:pPr>
    </w:p>
    <w:p>
      <w:pPr>
        <w:ind w:left="980" w:hanging="341"/>
        <w:spacing w:after="0"/>
        <w:tabs>
          <w:tab w:leader="none" w:pos="980" w:val="left"/>
        </w:tabs>
        <w:numPr>
          <w:ilvl w:val="0"/>
          <w:numId w:val="3"/>
        </w:numPr>
        <w:rPr>
          <w:rFonts w:ascii="Calibri" w:cs="Calibri" w:eastAsia="Calibri" w:hAnsi="Calibri"/>
          <w:sz w:val="14"/>
          <w:szCs w:val="14"/>
          <w:color w:val="auto"/>
        </w:rPr>
      </w:pPr>
      <w:r>
        <w:rPr>
          <w:rFonts w:ascii="Calibri" w:cs="Calibri" w:eastAsia="Calibri" w:hAnsi="Calibri"/>
          <w:sz w:val="14"/>
          <w:szCs w:val="14"/>
          <w:color w:val="auto"/>
        </w:rPr>
        <w:t>our ability to utlize our net operatng loss carryforwards and tax credit carryforwards;</w:t>
      </w:r>
    </w:p>
    <w:p>
      <w:pPr>
        <w:spacing w:after="0" w:line="91" w:lineRule="exact"/>
        <w:rPr>
          <w:rFonts w:ascii="Calibri" w:cs="Calibri" w:eastAsia="Calibri" w:hAnsi="Calibri"/>
          <w:sz w:val="14"/>
          <w:szCs w:val="14"/>
          <w:color w:val="auto"/>
        </w:rPr>
      </w:pPr>
    </w:p>
    <w:p>
      <w:pPr>
        <w:ind w:left="980" w:hanging="341"/>
        <w:spacing w:after="0"/>
        <w:tabs>
          <w:tab w:leader="none" w:pos="980" w:val="left"/>
        </w:tabs>
        <w:numPr>
          <w:ilvl w:val="0"/>
          <w:numId w:val="3"/>
        </w:numPr>
        <w:rPr>
          <w:rFonts w:ascii="Calibri" w:cs="Calibri" w:eastAsia="Calibri" w:hAnsi="Calibri"/>
          <w:sz w:val="14"/>
          <w:szCs w:val="14"/>
          <w:color w:val="auto"/>
        </w:rPr>
      </w:pPr>
      <w:r>
        <w:rPr>
          <w:rFonts w:ascii="Calibri" w:cs="Calibri" w:eastAsia="Calibri" w:hAnsi="Calibri"/>
          <w:sz w:val="14"/>
          <w:szCs w:val="14"/>
          <w:color w:val="auto"/>
        </w:rPr>
        <w:t>the impact of laws and regulatons;</w:t>
      </w:r>
    </w:p>
    <w:p>
      <w:pPr>
        <w:spacing w:after="0" w:line="113" w:lineRule="exact"/>
        <w:rPr>
          <w:sz w:val="20"/>
          <w:szCs w:val="20"/>
          <w:color w:val="auto"/>
        </w:rPr>
      </w:pPr>
    </w:p>
    <w:p>
      <w:pPr>
        <w:jc w:val="center"/>
        <w:spacing w:after="0"/>
        <w:rPr>
          <w:sz w:val="20"/>
          <w:szCs w:val="20"/>
          <w:color w:val="auto"/>
        </w:rPr>
      </w:pPr>
      <w:r>
        <w:rPr>
          <w:rFonts w:ascii="Calibri" w:cs="Calibri" w:eastAsia="Calibri" w:hAnsi="Calibri"/>
          <w:sz w:val="14"/>
          <w:szCs w:val="14"/>
          <w:color w:val="auto"/>
        </w:rPr>
        <w:t>S-5</w:t>
      </w:r>
    </w:p>
    <w:p>
      <w:pPr>
        <w:sectPr>
          <w:pgSz w:w="11900" w:h="16838" w:orient="portrait"/>
          <w:cols w:equalWidth="0" w:num="1">
            <w:col w:w="9019"/>
          </w:cols>
          <w:pgMar w:left="1440" w:top="238" w:right="1440" w:bottom="1440" w:gutter="0" w:footer="0" w:header="0"/>
        </w:sectPr>
      </w:pPr>
    </w:p>
    <w:bookmarkStart w:id="7" w:name="page8"/>
    <w:bookmarkEnd w:id="7"/>
    <w:p>
      <w:pPr>
        <w:ind w:left="980" w:hanging="341"/>
        <w:spacing w:after="0"/>
        <w:tabs>
          <w:tab w:leader="none" w:pos="980" w:val="left"/>
        </w:tabs>
        <w:numPr>
          <w:ilvl w:val="0"/>
          <w:numId w:val="4"/>
        </w:numPr>
        <w:rPr>
          <w:rFonts w:ascii="Calibri" w:cs="Calibri" w:eastAsia="Calibri" w:hAnsi="Calibri"/>
          <w:sz w:val="14"/>
          <w:szCs w:val="14"/>
          <w:color w:val="auto"/>
        </w:rPr>
      </w:pPr>
      <w:r>
        <w:rPr>
          <w:rFonts w:ascii="Calibri" w:cs="Calibri" w:eastAsia="Calibri" w:hAnsi="Calibri"/>
          <w:sz w:val="14"/>
          <w:szCs w:val="14"/>
          <w:color w:val="auto"/>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the potental liquidity and trading of our public securites;</w:t>
      </w:r>
    </w:p>
    <w:p>
      <w:pPr>
        <w:spacing w:after="0" w:line="91" w:lineRule="exact"/>
        <w:rPr>
          <w:rFonts w:ascii="Calibri" w:cs="Calibri" w:eastAsia="Calibri" w:hAnsi="Calibri"/>
          <w:sz w:val="14"/>
          <w:szCs w:val="14"/>
          <w:color w:val="auto"/>
        </w:rPr>
      </w:pPr>
    </w:p>
    <w:p>
      <w:pPr>
        <w:ind w:left="980" w:hanging="341"/>
        <w:spacing w:after="0"/>
        <w:tabs>
          <w:tab w:leader="none" w:pos="980" w:val="left"/>
        </w:tabs>
        <w:numPr>
          <w:ilvl w:val="0"/>
          <w:numId w:val="4"/>
        </w:numPr>
        <w:rPr>
          <w:rFonts w:ascii="Calibri" w:cs="Calibri" w:eastAsia="Calibri" w:hAnsi="Calibri"/>
          <w:sz w:val="14"/>
          <w:szCs w:val="14"/>
          <w:color w:val="auto"/>
        </w:rPr>
      </w:pPr>
      <w:r>
        <w:rPr>
          <w:rFonts w:ascii="Calibri" w:cs="Calibri" w:eastAsia="Calibri" w:hAnsi="Calibri"/>
          <w:sz w:val="14"/>
          <w:szCs w:val="14"/>
          <w:color w:val="auto"/>
        </w:rPr>
        <w:t>our antcipated use of our existng cash, cash equivalents and marketable securites; and</w:t>
      </w:r>
    </w:p>
    <w:p>
      <w:pPr>
        <w:spacing w:after="0" w:line="91" w:lineRule="exact"/>
        <w:rPr>
          <w:rFonts w:ascii="Calibri" w:cs="Calibri" w:eastAsia="Calibri" w:hAnsi="Calibri"/>
          <w:sz w:val="14"/>
          <w:szCs w:val="14"/>
          <w:color w:val="auto"/>
        </w:rPr>
      </w:pPr>
    </w:p>
    <w:p>
      <w:pPr>
        <w:ind w:left="980" w:hanging="341"/>
        <w:spacing w:after="0"/>
        <w:tabs>
          <w:tab w:leader="none" w:pos="980" w:val="left"/>
        </w:tabs>
        <w:numPr>
          <w:ilvl w:val="0"/>
          <w:numId w:val="4"/>
        </w:numPr>
        <w:rPr>
          <w:rFonts w:ascii="Calibri" w:cs="Calibri" w:eastAsia="Calibri" w:hAnsi="Calibri"/>
          <w:sz w:val="14"/>
          <w:szCs w:val="14"/>
          <w:color w:val="auto"/>
        </w:rPr>
      </w:pPr>
      <w:r>
        <w:rPr>
          <w:rFonts w:ascii="Calibri" w:cs="Calibri" w:eastAsia="Calibri" w:hAnsi="Calibri"/>
          <w:sz w:val="14"/>
          <w:szCs w:val="14"/>
          <w:color w:val="auto"/>
        </w:rPr>
        <w:t>our expectatons related to the use of proceeds from this ofering.</w:t>
      </w:r>
    </w:p>
    <w:p>
      <w:pPr>
        <w:spacing w:after="0" w:line="169" w:lineRule="exact"/>
        <w:rPr>
          <w:sz w:val="20"/>
          <w:szCs w:val="20"/>
          <w:color w:val="auto"/>
        </w:rPr>
      </w:pPr>
    </w:p>
    <w:p>
      <w:pPr>
        <w:ind w:left="220" w:right="299"/>
        <w:spacing w:after="0" w:line="235" w:lineRule="auto"/>
        <w:rPr>
          <w:sz w:val="20"/>
          <w:szCs w:val="20"/>
          <w:color w:val="auto"/>
        </w:rPr>
      </w:pPr>
      <w:r>
        <w:rPr>
          <w:rFonts w:ascii="Calibri" w:cs="Calibri" w:eastAsia="Calibri" w:hAnsi="Calibri"/>
          <w:sz w:val="14"/>
          <w:szCs w:val="14"/>
          <w:color w:val="auto"/>
        </w:rPr>
        <w:t>We have based these forward-looking statements largely on our current expectatons and projectons about our business, the industry in which we operate and fnancial trends that we believe may afect our business, fnancial conditon, results of operatons and prospects, and these forward-looking statements are not guarantees of future performance or development. These forward-looking statements speak only as of the date of this prospectus supplement and are subject to a number of risks, uncertaintes and assumptons described in the secton ttled “Risk Factors” and elsewhere in this prospectus supplement, the accompanying prospectus, and the documents incorporated by reference herein and therein. Because forward-looking statements are inherently subject to risks and uncertaintes, some of which cannot be predicted or quantfed, you should not rely on these forward-looking statements as predictons of future events. The events and circumstances refected in our forward-looking statements may not be achieved or occur and actual results could difer materially from those projected in the forward-looking statements as a result of various factors, including risks and uncertaintes described in our current and future flings with the SEC. Except as required by applicable law, we do not plan to publicly update or revise any forward-looking statements contained herein untl afer we distribute this prospectus supplement, whether as a result of any new informaton, future events or otherwise.</w:t>
      </w:r>
    </w:p>
    <w:p>
      <w:pPr>
        <w:spacing w:after="0" w:line="176" w:lineRule="exact"/>
        <w:rPr>
          <w:sz w:val="20"/>
          <w:szCs w:val="20"/>
          <w:color w:val="auto"/>
        </w:rPr>
      </w:pPr>
    </w:p>
    <w:p>
      <w:pPr>
        <w:ind w:left="220" w:right="239"/>
        <w:spacing w:after="0" w:line="235" w:lineRule="auto"/>
        <w:rPr>
          <w:sz w:val="20"/>
          <w:szCs w:val="20"/>
          <w:color w:val="auto"/>
        </w:rPr>
      </w:pPr>
      <w:r>
        <w:rPr>
          <w:rFonts w:ascii="Calibri" w:cs="Calibri" w:eastAsia="Calibri" w:hAnsi="Calibri"/>
          <w:sz w:val="14"/>
          <w:szCs w:val="14"/>
          <w:color w:val="auto"/>
        </w:rPr>
        <w:t>In additon, statements that “we believe” and similar statements refect our beliefs and opinions on the relevant subject. These statements are based upon informaton available to us as of the date of this prospectus supplement and while we believe such informaton forms a reasonable basis for such statements, such informaton may be limited or incomplete, and our statements should not be read to indicate that we have conducted an exhaustve inquiry into, or review of, all potentally available relevant informaton. These statements are inherently uncertain and you are cautoned not to unduly rely upon these statements.</w:t>
      </w:r>
    </w:p>
    <w:p>
      <w:pPr>
        <w:spacing w:after="0" w:line="115" w:lineRule="exact"/>
        <w:rPr>
          <w:sz w:val="20"/>
          <w:szCs w:val="20"/>
          <w:color w:val="auto"/>
        </w:rPr>
      </w:pPr>
    </w:p>
    <w:p>
      <w:pPr>
        <w:jc w:val="center"/>
        <w:spacing w:after="0"/>
        <w:rPr>
          <w:sz w:val="20"/>
          <w:szCs w:val="20"/>
          <w:color w:val="auto"/>
        </w:rPr>
      </w:pPr>
      <w:r>
        <w:rPr>
          <w:rFonts w:ascii="Calibri" w:cs="Calibri" w:eastAsia="Calibri" w:hAnsi="Calibri"/>
          <w:sz w:val="14"/>
          <w:szCs w:val="14"/>
          <w:color w:val="auto"/>
        </w:rPr>
        <w:t>S-6</w:t>
      </w:r>
    </w:p>
    <w:p>
      <w:pPr>
        <w:sectPr>
          <w:pgSz w:w="11900" w:h="16838" w:orient="portrait"/>
          <w:cols w:equalWidth="0" w:num="1">
            <w:col w:w="9019"/>
          </w:cols>
          <w:pgMar w:left="1440" w:top="234" w:right="1440" w:bottom="1440" w:gutter="0" w:footer="0" w:header="0"/>
        </w:sectPr>
      </w:pPr>
    </w:p>
    <w:bookmarkStart w:id="8" w:name="page9"/>
    <w:bookmarkEnd w:id="8"/>
    <w:p>
      <w:pPr>
        <w:jc w:val="center"/>
        <w:ind w:right="19"/>
        <w:spacing w:after="0"/>
        <w:rPr>
          <w:sz w:val="20"/>
          <w:szCs w:val="20"/>
          <w:color w:val="auto"/>
        </w:rPr>
      </w:pPr>
      <w:r>
        <w:rPr>
          <w:rFonts w:ascii="Calibri" w:cs="Calibri" w:eastAsia="Calibri" w:hAnsi="Calibri"/>
          <w:sz w:val="14"/>
          <w:szCs w:val="14"/>
          <w:b w:val="1"/>
          <w:bCs w:val="1"/>
          <w:color w:val="auto"/>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473837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01535" cy="4738370"/>
                    </a:xfrm>
                    <a:prstGeom prst="rect">
                      <a:avLst/>
                    </a:prstGeom>
                    <a:noFill/>
                  </pic:spPr>
                </pic:pic>
              </a:graphicData>
            </a:graphic>
          </wp:anchor>
        </w:drawing>
        <w:t>PROSPECTUS SUPPLEMENT SUMMARY</w:t>
      </w:r>
    </w:p>
    <w:p>
      <w:pPr>
        <w:spacing w:after="0" w:line="169" w:lineRule="exact"/>
        <w:rPr>
          <w:sz w:val="20"/>
          <w:szCs w:val="20"/>
          <w:color w:val="auto"/>
        </w:rPr>
      </w:pPr>
    </w:p>
    <w:p>
      <w:pPr>
        <w:ind w:left="360" w:right="379"/>
        <w:spacing w:after="0" w:line="235" w:lineRule="auto"/>
        <w:rPr>
          <w:sz w:val="20"/>
          <w:szCs w:val="20"/>
          <w:color w:val="auto"/>
        </w:rPr>
      </w:pPr>
      <w:r>
        <w:rPr>
          <w:rFonts w:ascii="Calibri" w:cs="Calibri" w:eastAsia="Calibri" w:hAnsi="Calibri"/>
          <w:sz w:val="14"/>
          <w:szCs w:val="14"/>
          <w:i w:val="1"/>
          <w:iCs w:val="1"/>
          <w:color w:val="auto"/>
        </w:rPr>
        <w:t>This summary highlights selected informaton contained elsewhere in this prospectus supplement, the accompanying prospectus and in the documents we incorporate by reference. This summary does not contain all of the informaton you should consider before making an investment decision. Therefore, you should read the entre prospectus supplement, the accompanying prospectus, and the informaton incorporated by reference herein and therein, before making an investment decision, especially the risks of investng in our securites discussed under “Risk Factors” beginning on page S-12 of this prospectus supplement, the “Risk Factors” secton of our most recent Annual Report on Form 10-K, as may be updated by our subsequent Quarterly Reports on Form 10-Q and other flings we make with the SEC, along with our consolidated fnancial statements and notes to those consolidated fnancial statements and the other informaton incorporated by reference in this prospectus supplement and the accompanying prospectus and in our flings with the SEC.</w:t>
      </w:r>
    </w:p>
    <w:p>
      <w:pPr>
        <w:spacing w:after="0" w:line="254" w:lineRule="exact"/>
        <w:rPr>
          <w:sz w:val="20"/>
          <w:szCs w:val="20"/>
          <w:color w:val="auto"/>
        </w:rPr>
      </w:pPr>
    </w:p>
    <w:p>
      <w:pPr>
        <w:ind w:left="360"/>
        <w:spacing w:after="0"/>
        <w:rPr>
          <w:sz w:val="20"/>
          <w:szCs w:val="20"/>
          <w:color w:val="auto"/>
        </w:rPr>
      </w:pPr>
      <w:r>
        <w:rPr>
          <w:rFonts w:ascii="Calibri" w:cs="Calibri" w:eastAsia="Calibri" w:hAnsi="Calibri"/>
          <w:sz w:val="14"/>
          <w:szCs w:val="14"/>
          <w:b w:val="1"/>
          <w:bCs w:val="1"/>
          <w:color w:val="auto"/>
        </w:rPr>
        <w:t>Company Overview</w:t>
      </w:r>
    </w:p>
    <w:p>
      <w:pPr>
        <w:spacing w:after="0" w:line="85" w:lineRule="exact"/>
        <w:rPr>
          <w:sz w:val="20"/>
          <w:szCs w:val="20"/>
          <w:color w:val="auto"/>
        </w:rPr>
      </w:pPr>
    </w:p>
    <w:p>
      <w:pPr>
        <w:ind w:left="360" w:right="399"/>
        <w:spacing w:after="0" w:line="235" w:lineRule="auto"/>
        <w:rPr>
          <w:sz w:val="20"/>
          <w:szCs w:val="20"/>
          <w:color w:val="auto"/>
        </w:rPr>
      </w:pPr>
      <w:r>
        <w:rPr>
          <w:rFonts w:ascii="Calibri" w:cs="Calibri" w:eastAsia="Calibri" w:hAnsi="Calibri"/>
          <w:sz w:val="14"/>
          <w:szCs w:val="14"/>
          <w:color w:val="auto"/>
        </w:rPr>
        <w:t>We are a clinical-stage biopharmaceutcal company focused on the discovery and development of small molecule therapeutcs to help people not only live longer, but live beter. We aim to address existng and emerging unmet needs with a precision medicine approach that improves survival and enhances overall well-being. Our discovery process combines deep insights into clinically validated biological targets and diferentated chemistry with the goal of designing therapies for unmet needs. By combining clinically validated targets and specifc target product profles with disciplined clinical trial design and regulatory strategy, we aim to develop drugs that address unmet needs with an increased probability of clinical and commercial success. Validated targets are those whose role in disease pathology have been demonstrated by mechanistc and clinical studies. We are currently advancing ELVN-001 as well as pursuing multple additonal research-stage opportunites that align with our small molecule development approach.</w:t>
      </w:r>
    </w:p>
    <w:p>
      <w:pPr>
        <w:spacing w:after="0" w:line="174" w:lineRule="exact"/>
        <w:rPr>
          <w:sz w:val="20"/>
          <w:szCs w:val="20"/>
          <w:color w:val="auto"/>
        </w:rPr>
      </w:pPr>
    </w:p>
    <w:p>
      <w:pPr>
        <w:jc w:val="both"/>
        <w:ind w:left="360" w:right="499"/>
        <w:spacing w:after="0" w:line="235" w:lineRule="auto"/>
        <w:rPr>
          <w:sz w:val="20"/>
          <w:szCs w:val="20"/>
          <w:color w:val="auto"/>
        </w:rPr>
      </w:pPr>
      <w:r>
        <w:rPr>
          <w:rFonts w:ascii="Calibri" w:cs="Calibri" w:eastAsia="Calibri" w:hAnsi="Calibri"/>
          <w:sz w:val="14"/>
          <w:szCs w:val="14"/>
          <w:color w:val="auto"/>
        </w:rPr>
        <w:t>ELVN-001 is a potent, highly selectve, small molecule kinase inhibitor designed to specifcally target the BCR-ABL gene fusion, the oncogenic driver for patents with chronic myeloid leukemia (“CML”). It is an adenosine triphosphate (“ATP”)-compettve tyrosine kinase inhibitor (“TKI”), meaning it competes with ATP for binding at the kinase actve site, thereby blocking phosphorylaton and downstream oncogenic signaling.</w:t>
      </w:r>
    </w:p>
    <w:p>
      <w:pPr>
        <w:spacing w:after="0" w:line="170" w:lineRule="exact"/>
        <w:rPr>
          <w:sz w:val="20"/>
          <w:szCs w:val="20"/>
          <w:color w:val="auto"/>
        </w:rPr>
      </w:pPr>
    </w:p>
    <w:p>
      <w:pPr>
        <w:ind w:left="360" w:right="399"/>
        <w:spacing w:after="0" w:line="235" w:lineRule="auto"/>
        <w:rPr>
          <w:sz w:val="20"/>
          <w:szCs w:val="20"/>
          <w:color w:val="auto"/>
        </w:rPr>
      </w:pPr>
      <w:r>
        <w:rPr>
          <w:rFonts w:ascii="Calibri" w:cs="Calibri" w:eastAsia="Calibri" w:hAnsi="Calibri"/>
          <w:sz w:val="14"/>
          <w:szCs w:val="14"/>
          <w:color w:val="auto"/>
        </w:rPr>
        <w:t>Although the approval of BCR-ABL TKIs changed prognosis of CML from a fatal disease to a manageable chronic conditon, patents stll face several barriers that limit their ability to achieve durable responses, maintain long-term treatment success, and sustain a good quality of life. Patents can develop primary or secondary resistance to currently available TKIs, preventng them from achieving or maintaining the level of response required for long-term survival. In additon, ATP-compettve TKIs (e.g. nilotnib, dasatnib) have of-target actvity that may lead to adverse events, potentally requiring dose reductons or discontnuaton. All approved TKIs are associated with drug-drug interactons that can afect the safety and efcacy of some medicatons, and most BCR-ABL TKIs must be taken either with food or on an empty stomach, making adherence more difcult. These factors underscore the signifcant global opportunity for therapies that can address these unmet needs.</w:t>
      </w:r>
    </w:p>
    <w:p>
      <w:pPr>
        <w:spacing w:after="0" w:line="173" w:lineRule="exact"/>
        <w:rPr>
          <w:sz w:val="20"/>
          <w:szCs w:val="20"/>
          <w:color w:val="auto"/>
        </w:rPr>
      </w:pPr>
    </w:p>
    <w:p>
      <w:pPr>
        <w:ind w:left="360" w:right="419"/>
        <w:spacing w:after="0" w:line="235" w:lineRule="auto"/>
        <w:rPr>
          <w:sz w:val="20"/>
          <w:szCs w:val="20"/>
          <w:color w:val="auto"/>
        </w:rPr>
      </w:pPr>
      <w:r>
        <w:rPr>
          <w:rFonts w:ascii="Calibri" w:cs="Calibri" w:eastAsia="Calibri" w:hAnsi="Calibri"/>
          <w:sz w:val="14"/>
          <w:szCs w:val="14"/>
          <w:color w:val="auto"/>
        </w:rPr>
        <w:t>As a selectve ATP-compettve inhibitor, ELVN-001 is diferentated from other ATP-compettve inhibitors by avoiding of-target actvity that may cause adverse events. With this potental additonal safety margin, ELVN-001 may be optmally dosed to potentally drive beter efcacy. Additonally, as a selectve ATP-compettve TKI, ELVN-001 potentally represents a complementary opton to allosteric BCR-ABL inhibitors (e.g., asciminib), which may play an increasingly important role in the standard of care for CML. Specifcally, ELVN-001 was designed to have actvity against emerging mutatons known to confer resistance to allosteric TKIs, including asciminib. ELVN-001 was also designed to be a more atractve opton for patents with comorbidites, on concomitant medicatons or desiring more freedom from stringent administraton requirements. ELVN-001 is currently being evaluated in the Phase 1 ENABLE clinical trial in heavily pretreated patents with CML, and we plan to initate ENABLE-2, a 2L+ Phase 3 pivotal trial in the second half of 2026.</w:t>
      </w:r>
    </w:p>
    <w:p>
      <w:pPr>
        <w:spacing w:after="0" w:line="254" w:lineRule="exact"/>
        <w:rPr>
          <w:sz w:val="20"/>
          <w:szCs w:val="20"/>
          <w:color w:val="auto"/>
        </w:rPr>
      </w:pPr>
    </w:p>
    <w:p>
      <w:pPr>
        <w:jc w:val="center"/>
        <w:ind w:right="19"/>
        <w:spacing w:after="0"/>
        <w:rPr>
          <w:sz w:val="20"/>
          <w:szCs w:val="20"/>
          <w:color w:val="auto"/>
        </w:rPr>
      </w:pPr>
      <w:r>
        <w:rPr>
          <w:rFonts w:ascii="Calibri" w:cs="Calibri" w:eastAsia="Calibri" w:hAnsi="Calibri"/>
          <w:sz w:val="14"/>
          <w:szCs w:val="14"/>
          <w:color w:val="auto"/>
        </w:rPr>
        <w:t>S-7</w:t>
      </w:r>
    </w:p>
    <w:p>
      <w:pPr>
        <w:sectPr>
          <w:pgSz w:w="11900" w:h="16838" w:orient="portrait"/>
          <w:cols w:equalWidth="0" w:num="1">
            <w:col w:w="9019"/>
          </w:cols>
          <w:pgMar w:left="1440" w:top="381" w:right="1440" w:bottom="1440" w:gutter="0" w:footer="0" w:header="0"/>
        </w:sectPr>
      </w:pPr>
    </w:p>
    <w:bookmarkStart w:id="9" w:name="page10"/>
    <w:bookmarkEnd w:id="9"/>
    <w:p>
      <w:pPr>
        <w:ind w:left="360" w:right="379"/>
        <w:spacing w:after="0" w:line="235" w:lineRule="auto"/>
        <w:rPr>
          <w:sz w:val="20"/>
          <w:szCs w:val="20"/>
          <w:color w:val="auto"/>
        </w:rPr>
      </w:pPr>
      <w:r>
        <w:rPr>
          <w:rFonts w:ascii="Calibri" w:cs="Calibri" w:eastAsia="Calibri" w:hAnsi="Calibri"/>
          <w:sz w:val="14"/>
          <w:szCs w:val="14"/>
          <w:color w:val="auto"/>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5605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01535" cy="5605145"/>
                    </a:xfrm>
                    <a:prstGeom prst="rect">
                      <a:avLst/>
                    </a:prstGeom>
                    <a:noFill/>
                  </pic:spPr>
                </pic:pic>
              </a:graphicData>
            </a:graphic>
          </wp:anchor>
        </w:drawing>
        <w:t>We believe that our development approach, which is rooted in validated biology and diferentated chemistry, enables us to design and develop medicines with an improved therapeutc profle for patents. We contnue to follow this approach to advance our research pipeline in diseases such as Graves’ disease, where we believe our target and indicaton-agnostc approach and expertse in complex medicinal chemistry can lead to new and improved treatments.</w:t>
      </w:r>
    </w:p>
    <w:p>
      <w:pPr>
        <w:spacing w:after="0" w:line="219" w:lineRule="exact"/>
        <w:rPr>
          <w:sz w:val="20"/>
          <w:szCs w:val="20"/>
          <w:color w:val="auto"/>
        </w:rPr>
      </w:pPr>
    </w:p>
    <w:p>
      <w:pPr>
        <w:ind w:left="360"/>
        <w:spacing w:after="0"/>
        <w:rPr>
          <w:sz w:val="20"/>
          <w:szCs w:val="20"/>
          <w:color w:val="auto"/>
        </w:rPr>
      </w:pPr>
      <w:r>
        <w:rPr>
          <w:rFonts w:ascii="Calibri" w:cs="Calibri" w:eastAsia="Calibri" w:hAnsi="Calibri"/>
          <w:sz w:val="14"/>
          <w:szCs w:val="14"/>
          <w:b w:val="1"/>
          <w:bCs w:val="1"/>
          <w:color w:val="auto"/>
        </w:rPr>
        <w:t>Recent Developments</w:t>
      </w:r>
    </w:p>
    <w:p>
      <w:pPr>
        <w:spacing w:after="0" w:line="85" w:lineRule="exact"/>
        <w:rPr>
          <w:sz w:val="20"/>
          <w:szCs w:val="20"/>
          <w:color w:val="auto"/>
        </w:rPr>
      </w:pPr>
    </w:p>
    <w:p>
      <w:pPr>
        <w:ind w:left="360" w:right="699"/>
        <w:spacing w:after="0" w:line="235" w:lineRule="auto"/>
        <w:rPr>
          <w:sz w:val="20"/>
          <w:szCs w:val="20"/>
          <w:color w:val="auto"/>
        </w:rPr>
      </w:pPr>
      <w:r>
        <w:rPr>
          <w:rFonts w:ascii="Calibri" w:cs="Calibri" w:eastAsia="Calibri" w:hAnsi="Calibri"/>
          <w:sz w:val="14"/>
          <w:szCs w:val="14"/>
          <w:color w:val="auto"/>
        </w:rPr>
        <w:t>On June 11, 2026, we announced updated positve data from the Phase 1 ENABLE clinical trial evaluatng ELVN-001 in patents with CML and key outcomes from our End-of-Phase 1 meetng with the U.S. Food and Drug Administraton (the “FDA”).</w:t>
      </w:r>
    </w:p>
    <w:p>
      <w:pPr>
        <w:spacing w:after="0" w:line="218" w:lineRule="exact"/>
        <w:rPr>
          <w:sz w:val="20"/>
          <w:szCs w:val="20"/>
          <w:color w:val="auto"/>
        </w:rPr>
      </w:pPr>
    </w:p>
    <w:p>
      <w:pPr>
        <w:ind w:left="360"/>
        <w:spacing w:after="0"/>
        <w:rPr>
          <w:sz w:val="20"/>
          <w:szCs w:val="20"/>
          <w:color w:val="auto"/>
        </w:rPr>
      </w:pPr>
      <w:r>
        <w:rPr>
          <w:rFonts w:ascii="Calibri" w:cs="Calibri" w:eastAsia="Calibri" w:hAnsi="Calibri"/>
          <w:sz w:val="14"/>
          <w:szCs w:val="14"/>
          <w:b w:val="1"/>
          <w:bCs w:val="1"/>
          <w:u w:val="single" w:color="auto"/>
          <w:color w:val="auto"/>
        </w:rPr>
        <w:t>ELVN-001 Updated Data Highlights</w:t>
      </w:r>
    </w:p>
    <w:p>
      <w:pPr>
        <w:spacing w:after="0" w:line="81" w:lineRule="exact"/>
        <w:rPr>
          <w:sz w:val="20"/>
          <w:szCs w:val="20"/>
          <w:color w:val="auto"/>
        </w:rPr>
      </w:pPr>
    </w:p>
    <w:p>
      <w:pPr>
        <w:ind w:left="360"/>
        <w:spacing w:after="0"/>
        <w:rPr>
          <w:sz w:val="20"/>
          <w:szCs w:val="20"/>
          <w:color w:val="auto"/>
        </w:rPr>
      </w:pPr>
      <w:r>
        <w:rPr>
          <w:rFonts w:ascii="Calibri" w:cs="Calibri" w:eastAsia="Calibri" w:hAnsi="Calibri"/>
          <w:sz w:val="14"/>
          <w:szCs w:val="14"/>
          <w:b w:val="1"/>
          <w:bCs w:val="1"/>
          <w:color w:val="auto"/>
        </w:rPr>
        <w:t>ENABLE Has Enrolled a Heavily Pretreated Patent Populaton</w:t>
      </w:r>
    </w:p>
    <w:p>
      <w:pPr>
        <w:spacing w:after="0" w:line="96" w:lineRule="exact"/>
        <w:rPr>
          <w:sz w:val="20"/>
          <w:szCs w:val="20"/>
          <w:color w:val="auto"/>
        </w:rPr>
      </w:pPr>
    </w:p>
    <w:p>
      <w:pPr>
        <w:ind w:left="1080" w:right="899" w:hanging="310"/>
        <w:spacing w:after="0" w:line="235" w:lineRule="auto"/>
        <w:tabs>
          <w:tab w:leader="none" w:pos="1080" w:val="left"/>
        </w:tabs>
        <w:numPr>
          <w:ilvl w:val="0"/>
          <w:numId w:val="5"/>
        </w:numPr>
        <w:rPr>
          <w:rFonts w:ascii="Calibri" w:cs="Calibri" w:eastAsia="Calibri" w:hAnsi="Calibri"/>
          <w:sz w:val="14"/>
          <w:szCs w:val="14"/>
          <w:color w:val="auto"/>
        </w:rPr>
      </w:pPr>
      <w:r>
        <w:rPr>
          <w:rFonts w:ascii="Calibri" w:cs="Calibri" w:eastAsia="Calibri" w:hAnsi="Calibri"/>
          <w:sz w:val="14"/>
          <w:szCs w:val="14"/>
          <w:color w:val="auto"/>
        </w:rPr>
        <w:t>As of the cutof date of March 10, 2026, 161 patents were enrolled in the ongoing Phase 1 trial across dose levels ranging from 10-240 mg daily.</w:t>
      </w:r>
    </w:p>
    <w:p>
      <w:pPr>
        <w:spacing w:after="0" w:line="92" w:lineRule="exact"/>
        <w:rPr>
          <w:rFonts w:ascii="Calibri" w:cs="Calibri" w:eastAsia="Calibri" w:hAnsi="Calibri"/>
          <w:sz w:val="14"/>
          <w:szCs w:val="14"/>
          <w:color w:val="auto"/>
        </w:rPr>
      </w:pPr>
    </w:p>
    <w:p>
      <w:pPr>
        <w:ind w:left="1080" w:hanging="310"/>
        <w:spacing w:after="0"/>
        <w:tabs>
          <w:tab w:leader="none" w:pos="1080" w:val="left"/>
        </w:tabs>
        <w:numPr>
          <w:ilvl w:val="0"/>
          <w:numId w:val="5"/>
        </w:numPr>
        <w:rPr>
          <w:rFonts w:ascii="Calibri" w:cs="Calibri" w:eastAsia="Calibri" w:hAnsi="Calibri"/>
          <w:sz w:val="14"/>
          <w:szCs w:val="14"/>
          <w:color w:val="auto"/>
        </w:rPr>
      </w:pPr>
      <w:r>
        <w:rPr>
          <w:rFonts w:ascii="Calibri" w:cs="Calibri" w:eastAsia="Calibri" w:hAnsi="Calibri"/>
          <w:sz w:val="14"/>
          <w:szCs w:val="14"/>
          <w:color w:val="auto"/>
        </w:rPr>
        <w:t>Most patents (76%) remain on study with a median treatment duraton of 35 weeks.</w:t>
      </w:r>
    </w:p>
    <w:p>
      <w:pPr>
        <w:spacing w:after="0" w:line="95" w:lineRule="exact"/>
        <w:rPr>
          <w:rFonts w:ascii="Calibri" w:cs="Calibri" w:eastAsia="Calibri" w:hAnsi="Calibri"/>
          <w:sz w:val="14"/>
          <w:szCs w:val="14"/>
          <w:color w:val="auto"/>
        </w:rPr>
      </w:pPr>
    </w:p>
    <w:p>
      <w:pPr>
        <w:ind w:left="1080" w:right="599" w:hanging="310"/>
        <w:spacing w:after="0" w:line="235" w:lineRule="auto"/>
        <w:tabs>
          <w:tab w:leader="none" w:pos="1080" w:val="left"/>
        </w:tabs>
        <w:numPr>
          <w:ilvl w:val="0"/>
          <w:numId w:val="5"/>
        </w:numPr>
        <w:rPr>
          <w:rFonts w:ascii="Calibri" w:cs="Calibri" w:eastAsia="Calibri" w:hAnsi="Calibri"/>
          <w:sz w:val="14"/>
          <w:szCs w:val="14"/>
          <w:color w:val="auto"/>
        </w:rPr>
      </w:pPr>
      <w:r>
        <w:rPr>
          <w:rFonts w:ascii="Calibri" w:cs="Calibri" w:eastAsia="Calibri" w:hAnsi="Calibri"/>
          <w:sz w:val="14"/>
          <w:szCs w:val="14"/>
          <w:color w:val="auto"/>
        </w:rPr>
        <w:t>Patents enrolled were heavily pretreated, with 70% having received three or more prior unique TKIs and 23% having received fve or more unique TKIs.</w:t>
      </w:r>
    </w:p>
    <w:p>
      <w:pPr>
        <w:spacing w:after="0" w:line="95" w:lineRule="exact"/>
        <w:rPr>
          <w:rFonts w:ascii="Calibri" w:cs="Calibri" w:eastAsia="Calibri" w:hAnsi="Calibri"/>
          <w:sz w:val="14"/>
          <w:szCs w:val="14"/>
          <w:color w:val="auto"/>
        </w:rPr>
      </w:pPr>
    </w:p>
    <w:p>
      <w:pPr>
        <w:ind w:left="1420" w:right="519" w:hanging="240"/>
        <w:spacing w:after="0" w:line="235" w:lineRule="auto"/>
        <w:tabs>
          <w:tab w:leader="none" w:pos="1420" w:val="left"/>
        </w:tabs>
        <w:numPr>
          <w:ilvl w:val="1"/>
          <w:numId w:val="5"/>
        </w:numPr>
        <w:rPr>
          <w:rFonts w:ascii="Calibri" w:cs="Calibri" w:eastAsia="Calibri" w:hAnsi="Calibri"/>
          <w:sz w:val="14"/>
          <w:szCs w:val="14"/>
          <w:color w:val="auto"/>
        </w:rPr>
      </w:pPr>
      <w:r>
        <w:rPr>
          <w:rFonts w:ascii="Calibri" w:cs="Calibri" w:eastAsia="Calibri" w:hAnsi="Calibri"/>
          <w:sz w:val="14"/>
          <w:szCs w:val="14"/>
          <w:color w:val="auto"/>
        </w:rPr>
        <w:t>62% of patents received prior asciminib, and these patents were more heavily pretreated than the overall trial populaton: 93% received three or more prior unique TKIs, and 34% received fve or more unique TKIs.</w:t>
      </w:r>
    </w:p>
    <w:p>
      <w:pPr>
        <w:spacing w:after="0" w:line="95" w:lineRule="exact"/>
        <w:rPr>
          <w:rFonts w:ascii="Calibri" w:cs="Calibri" w:eastAsia="Calibri" w:hAnsi="Calibri"/>
          <w:sz w:val="14"/>
          <w:szCs w:val="14"/>
          <w:color w:val="auto"/>
        </w:rPr>
      </w:pPr>
    </w:p>
    <w:p>
      <w:pPr>
        <w:ind w:left="1420" w:right="419" w:hanging="240"/>
        <w:spacing w:after="0" w:line="235" w:lineRule="auto"/>
        <w:tabs>
          <w:tab w:leader="none" w:pos="1420" w:val="left"/>
        </w:tabs>
        <w:numPr>
          <w:ilvl w:val="1"/>
          <w:numId w:val="5"/>
        </w:numPr>
        <w:rPr>
          <w:rFonts w:ascii="Calibri" w:cs="Calibri" w:eastAsia="Calibri" w:hAnsi="Calibri"/>
          <w:sz w:val="14"/>
          <w:szCs w:val="14"/>
          <w:color w:val="auto"/>
        </w:rPr>
      </w:pPr>
      <w:r>
        <w:rPr>
          <w:rFonts w:ascii="Calibri" w:cs="Calibri" w:eastAsia="Calibri" w:hAnsi="Calibri"/>
          <w:sz w:val="14"/>
          <w:szCs w:val="14"/>
          <w:color w:val="auto"/>
        </w:rPr>
        <w:t>8% of patents enrolled with mutatons associated with resistance to allosteric inhibitors, increasing from 4% in Phase 1a to 11% in Phase 1b.</w:t>
      </w:r>
    </w:p>
    <w:p>
      <w:pPr>
        <w:spacing w:after="0" w:line="250" w:lineRule="exact"/>
        <w:rPr>
          <w:sz w:val="20"/>
          <w:szCs w:val="20"/>
          <w:color w:val="auto"/>
        </w:rPr>
      </w:pPr>
    </w:p>
    <w:p>
      <w:pPr>
        <w:ind w:left="360"/>
        <w:spacing w:after="0"/>
        <w:rPr>
          <w:sz w:val="20"/>
          <w:szCs w:val="20"/>
          <w:color w:val="auto"/>
        </w:rPr>
      </w:pPr>
      <w:r>
        <w:rPr>
          <w:rFonts w:ascii="Calibri" w:cs="Calibri" w:eastAsia="Calibri" w:hAnsi="Calibri"/>
          <w:sz w:val="14"/>
          <w:szCs w:val="14"/>
          <w:b w:val="1"/>
          <w:bCs w:val="1"/>
          <w:color w:val="auto"/>
        </w:rPr>
        <w:t>Encouraging ELVN-001 Efcacy Data by 24 Weeks</w:t>
      </w:r>
    </w:p>
    <w:p>
      <w:pPr>
        <w:spacing w:after="0" w:line="96" w:lineRule="exact"/>
        <w:rPr>
          <w:sz w:val="20"/>
          <w:szCs w:val="20"/>
          <w:color w:val="auto"/>
        </w:rPr>
      </w:pPr>
    </w:p>
    <w:p>
      <w:pPr>
        <w:ind w:left="1080" w:right="799" w:hanging="310"/>
        <w:spacing w:after="0" w:line="235" w:lineRule="auto"/>
        <w:tabs>
          <w:tab w:leader="none" w:pos="1080" w:val="left"/>
        </w:tabs>
        <w:numPr>
          <w:ilvl w:val="0"/>
          <w:numId w:val="6"/>
        </w:numPr>
        <w:rPr>
          <w:rFonts w:ascii="Calibri" w:cs="Calibri" w:eastAsia="Calibri" w:hAnsi="Calibri"/>
          <w:sz w:val="14"/>
          <w:szCs w:val="14"/>
          <w:color w:val="auto"/>
        </w:rPr>
      </w:pPr>
      <w:r>
        <w:rPr>
          <w:rFonts w:ascii="Calibri" w:cs="Calibri" w:eastAsia="Calibri" w:hAnsi="Calibri"/>
          <w:sz w:val="14"/>
          <w:szCs w:val="14"/>
          <w:color w:val="auto"/>
        </w:rPr>
        <w:t>Of the 90 patents enrolled in the Phase 1b, 78 had typical BCR::ABL1 transcripts and had at least one post-baseline transcript; 69 patents were evaluable for major molecular response (MMR) by 24 weeks.</w:t>
      </w:r>
    </w:p>
    <w:p>
      <w:pPr>
        <w:spacing w:after="0" w:line="95" w:lineRule="exact"/>
        <w:rPr>
          <w:rFonts w:ascii="Calibri" w:cs="Calibri" w:eastAsia="Calibri" w:hAnsi="Calibri"/>
          <w:sz w:val="14"/>
          <w:szCs w:val="14"/>
          <w:color w:val="auto"/>
        </w:rPr>
      </w:pPr>
    </w:p>
    <w:p>
      <w:pPr>
        <w:ind w:left="1080" w:right="519" w:hanging="310"/>
        <w:spacing w:after="0" w:line="235" w:lineRule="auto"/>
        <w:tabs>
          <w:tab w:leader="none" w:pos="1080" w:val="left"/>
        </w:tabs>
        <w:numPr>
          <w:ilvl w:val="0"/>
          <w:numId w:val="6"/>
        </w:numPr>
        <w:rPr>
          <w:rFonts w:ascii="Calibri" w:cs="Calibri" w:eastAsia="Calibri" w:hAnsi="Calibri"/>
          <w:sz w:val="14"/>
          <w:szCs w:val="14"/>
          <w:color w:val="auto"/>
        </w:rPr>
      </w:pPr>
      <w:r>
        <w:rPr>
          <w:rFonts w:ascii="Calibri" w:cs="Calibri" w:eastAsia="Calibri" w:hAnsi="Calibri"/>
          <w:sz w:val="14"/>
          <w:szCs w:val="14"/>
          <w:color w:val="auto"/>
        </w:rPr>
        <w:t>Additonally, of the 49 patents enrolled in the 80 mg once daily (QD) Phase 1b cohort, 37 had typical BCR::ABL1 transcripts and had at least one post-baseline transcript; 28 patents were evaluable for MMR by 24 weeks.</w:t>
      </w:r>
    </w:p>
    <w:p>
      <w:pPr>
        <w:spacing w:after="0" w:line="194" w:lineRule="exact"/>
        <w:rPr>
          <w:sz w:val="20"/>
          <w:szCs w:val="20"/>
          <w:color w:val="auto"/>
        </w:rPr>
      </w:pPr>
    </w:p>
    <w:tbl>
      <w:tblPr>
        <w:tblLayout w:type="fixed"/>
        <w:tblInd w:w="1360" w:type="dxa"/>
        <w:tblCellMar>
          <w:top w:w="0" w:type="dxa"/>
          <w:left w:w="0" w:type="dxa"/>
          <w:bottom w:w="0" w:type="dxa"/>
          <w:right w:w="0" w:type="dxa"/>
        </w:tblCellMar>
      </w:tblPr>
      <w:tr>
        <w:trPr>
          <w:trHeight w:val="168"/>
        </w:trPr>
        <w:tc>
          <w:tcPr>
            <w:tcW w:w="1480" w:type="dxa"/>
            <w:vAlign w:val="bottom"/>
            <w:tcBorders>
              <w:bottom w:val="single" w:sz="8" w:color="auto"/>
            </w:tcBorders>
          </w:tcPr>
          <w:p>
            <w:pPr>
              <w:spacing w:after="0"/>
              <w:rPr>
                <w:sz w:val="20"/>
                <w:szCs w:val="20"/>
                <w:color w:val="auto"/>
              </w:rPr>
            </w:pPr>
            <w:r>
              <w:rPr>
                <w:rFonts w:ascii="Calibri" w:cs="Calibri" w:eastAsia="Calibri" w:hAnsi="Calibri"/>
                <w:sz w:val="11"/>
                <w:szCs w:val="11"/>
                <w:b w:val="1"/>
                <w:bCs w:val="1"/>
                <w:color w:val="auto"/>
              </w:rPr>
              <w:t>Cohort (n = evaluable for MMR)</w:t>
            </w:r>
          </w:p>
        </w:tc>
        <w:tc>
          <w:tcPr>
            <w:tcW w:w="2160" w:type="dxa"/>
            <w:vAlign w:val="bottom"/>
          </w:tcPr>
          <w:p>
            <w:pPr>
              <w:spacing w:after="0"/>
              <w:rPr>
                <w:sz w:val="14"/>
                <w:szCs w:val="14"/>
                <w:color w:val="auto"/>
              </w:rPr>
            </w:pPr>
          </w:p>
        </w:tc>
        <w:tc>
          <w:tcPr>
            <w:tcW w:w="1360" w:type="dxa"/>
            <w:vAlign w:val="bottom"/>
            <w:gridSpan w:val="3"/>
          </w:tcPr>
          <w:p>
            <w:pPr>
              <w:ind w:left="180"/>
              <w:spacing w:after="0"/>
              <w:rPr>
                <w:sz w:val="20"/>
                <w:szCs w:val="20"/>
                <w:color w:val="auto"/>
              </w:rPr>
            </w:pPr>
            <w:r>
              <w:rPr>
                <w:rFonts w:ascii="Calibri" w:cs="Calibri" w:eastAsia="Calibri" w:hAnsi="Calibri"/>
                <w:sz w:val="11"/>
                <w:szCs w:val="11"/>
                <w:b w:val="1"/>
                <w:bCs w:val="1"/>
                <w:color w:val="auto"/>
              </w:rPr>
              <w:t>Phase 1b</w:t>
            </w:r>
          </w:p>
        </w:tc>
        <w:tc>
          <w:tcPr>
            <w:tcW w:w="1280" w:type="dxa"/>
            <w:vAlign w:val="bottom"/>
            <w:gridSpan w:val="2"/>
          </w:tcPr>
          <w:p>
            <w:pPr>
              <w:jc w:val="right"/>
              <w:ind w:right="20"/>
              <w:spacing w:after="0"/>
              <w:rPr>
                <w:sz w:val="20"/>
                <w:szCs w:val="20"/>
                <w:color w:val="auto"/>
              </w:rPr>
            </w:pPr>
            <w:r>
              <w:rPr>
                <w:rFonts w:ascii="Calibri" w:cs="Calibri" w:eastAsia="Calibri" w:hAnsi="Calibri"/>
                <w:sz w:val="11"/>
                <w:szCs w:val="11"/>
                <w:b w:val="1"/>
                <w:bCs w:val="1"/>
                <w:color w:val="auto"/>
              </w:rPr>
              <w:t>Phase 1b 80 mg QD Cohort</w:t>
            </w:r>
          </w:p>
        </w:tc>
      </w:tr>
      <w:tr>
        <w:trPr>
          <w:trHeight w:val="152"/>
        </w:trPr>
        <w:tc>
          <w:tcPr>
            <w:tcW w:w="1480" w:type="dxa"/>
            <w:vAlign w:val="bottom"/>
            <w:tcBorders>
              <w:top w:val="single" w:sz="8" w:color="CCEEFF"/>
            </w:tcBorders>
            <w:shd w:val="clear" w:color="auto" w:fill="CCEEFF"/>
          </w:tcPr>
          <w:p>
            <w:pPr>
              <w:spacing w:after="0" w:line="147" w:lineRule="exact"/>
              <w:rPr>
                <w:sz w:val="20"/>
                <w:szCs w:val="20"/>
                <w:color w:val="auto"/>
              </w:rPr>
            </w:pPr>
            <w:r>
              <w:rPr>
                <w:rFonts w:ascii="Calibri" w:cs="Calibri" w:eastAsia="Calibri" w:hAnsi="Calibri"/>
                <w:sz w:val="14"/>
                <w:szCs w:val="14"/>
                <w:color w:val="auto"/>
              </w:rPr>
              <w:t>Overall MMR</w:t>
            </w:r>
          </w:p>
        </w:tc>
        <w:tc>
          <w:tcPr>
            <w:tcW w:w="2160" w:type="dxa"/>
            <w:vAlign w:val="bottom"/>
            <w:tcBorders>
              <w:top w:val="single" w:sz="8" w:color="CCEEFF"/>
            </w:tcBorders>
            <w:shd w:val="clear" w:color="auto" w:fill="CCEEFF"/>
          </w:tcPr>
          <w:p>
            <w:pPr>
              <w:spacing w:after="0"/>
              <w:rPr>
                <w:sz w:val="13"/>
                <w:szCs w:val="13"/>
                <w:color w:val="auto"/>
              </w:rPr>
            </w:pPr>
          </w:p>
        </w:tc>
        <w:tc>
          <w:tcPr>
            <w:tcW w:w="380" w:type="dxa"/>
            <w:vAlign w:val="bottom"/>
            <w:tcBorders>
              <w:top w:val="single" w:sz="8" w:color="auto"/>
            </w:tcBorders>
            <w:shd w:val="clear" w:color="auto" w:fill="CCEEFF"/>
          </w:tcPr>
          <w:p>
            <w:pPr>
              <w:jc w:val="right"/>
              <w:spacing w:after="0" w:line="152" w:lineRule="exact"/>
              <w:rPr>
                <w:sz w:val="20"/>
                <w:szCs w:val="20"/>
                <w:color w:val="auto"/>
              </w:rPr>
            </w:pPr>
            <w:r>
              <w:rPr>
                <w:rFonts w:ascii="Calibri" w:cs="Calibri" w:eastAsia="Calibri" w:hAnsi="Calibri"/>
                <w:sz w:val="14"/>
                <w:szCs w:val="14"/>
                <w:color w:val="auto"/>
              </w:rPr>
              <w:t>54%</w:t>
            </w:r>
          </w:p>
        </w:tc>
        <w:tc>
          <w:tcPr>
            <w:tcW w:w="360" w:type="dxa"/>
            <w:vAlign w:val="bottom"/>
            <w:tcBorders>
              <w:top w:val="single" w:sz="8" w:color="auto"/>
            </w:tcBorders>
            <w:shd w:val="clear" w:color="auto" w:fill="CCEEFF"/>
          </w:tcPr>
          <w:p>
            <w:pPr>
              <w:spacing w:after="0" w:line="152" w:lineRule="exact"/>
              <w:rPr>
                <w:sz w:val="20"/>
                <w:szCs w:val="20"/>
                <w:color w:val="auto"/>
              </w:rPr>
            </w:pPr>
            <w:r>
              <w:rPr>
                <w:rFonts w:ascii="Calibri" w:cs="Calibri" w:eastAsia="Calibri" w:hAnsi="Calibri"/>
                <w:sz w:val="14"/>
                <w:szCs w:val="14"/>
                <w:color w:val="auto"/>
                <w:w w:val="91"/>
              </w:rPr>
              <w:t>(n=69)</w:t>
            </w:r>
          </w:p>
        </w:tc>
        <w:tc>
          <w:tcPr>
            <w:tcW w:w="620" w:type="dxa"/>
            <w:vAlign w:val="bottom"/>
            <w:tcBorders>
              <w:top w:val="single" w:sz="8" w:color="CCEEFF"/>
            </w:tcBorders>
            <w:shd w:val="clear" w:color="auto" w:fill="CCEEFF"/>
          </w:tcPr>
          <w:p>
            <w:pPr>
              <w:spacing w:after="0"/>
              <w:rPr>
                <w:sz w:val="13"/>
                <w:szCs w:val="13"/>
                <w:color w:val="auto"/>
              </w:rPr>
            </w:pPr>
          </w:p>
        </w:tc>
        <w:tc>
          <w:tcPr>
            <w:tcW w:w="1260" w:type="dxa"/>
            <w:vAlign w:val="bottom"/>
            <w:tcBorders>
              <w:top w:val="single" w:sz="8" w:color="auto"/>
            </w:tcBorders>
            <w:shd w:val="clear" w:color="auto" w:fill="CCEEFF"/>
          </w:tcPr>
          <w:p>
            <w:pPr>
              <w:jc w:val="right"/>
              <w:spacing w:after="0" w:line="152" w:lineRule="exact"/>
              <w:rPr>
                <w:sz w:val="20"/>
                <w:szCs w:val="20"/>
                <w:color w:val="auto"/>
              </w:rPr>
            </w:pPr>
            <w:r>
              <w:rPr>
                <w:rFonts w:ascii="Calibri" w:cs="Calibri" w:eastAsia="Calibri" w:hAnsi="Calibri"/>
                <w:sz w:val="14"/>
                <w:szCs w:val="14"/>
                <w:color w:val="auto"/>
              </w:rPr>
              <w:t>61% (n=28)</w:t>
            </w:r>
          </w:p>
        </w:tc>
        <w:tc>
          <w:tcPr>
            <w:tcW w:w="20" w:type="dxa"/>
            <w:vAlign w:val="bottom"/>
            <w:tcBorders>
              <w:top w:val="single" w:sz="8" w:color="CCEEFF"/>
            </w:tcBorders>
            <w:shd w:val="clear" w:color="auto" w:fill="CCEEFF"/>
          </w:tcPr>
          <w:p>
            <w:pPr>
              <w:spacing w:after="0"/>
              <w:rPr>
                <w:sz w:val="13"/>
                <w:szCs w:val="13"/>
                <w:color w:val="auto"/>
              </w:rPr>
            </w:pPr>
          </w:p>
        </w:tc>
      </w:tr>
      <w:tr>
        <w:trPr>
          <w:trHeight w:val="168"/>
        </w:trPr>
        <w:tc>
          <w:tcPr>
            <w:tcW w:w="1480" w:type="dxa"/>
            <w:vAlign w:val="bottom"/>
          </w:tcPr>
          <w:p>
            <w:pPr>
              <w:spacing w:after="0" w:line="167" w:lineRule="exact"/>
              <w:rPr>
                <w:sz w:val="20"/>
                <w:szCs w:val="20"/>
                <w:color w:val="auto"/>
              </w:rPr>
            </w:pPr>
            <w:r>
              <w:rPr>
                <w:rFonts w:ascii="Calibri" w:cs="Calibri" w:eastAsia="Calibri" w:hAnsi="Calibri"/>
                <w:sz w:val="14"/>
                <w:szCs w:val="14"/>
                <w:color w:val="auto"/>
              </w:rPr>
              <w:t>Achieved MMR</w:t>
            </w:r>
          </w:p>
        </w:tc>
        <w:tc>
          <w:tcPr>
            <w:tcW w:w="2540" w:type="dxa"/>
            <w:vAlign w:val="bottom"/>
            <w:gridSpan w:val="2"/>
          </w:tcPr>
          <w:p>
            <w:pPr>
              <w:jc w:val="right"/>
              <w:spacing w:after="0" w:line="167" w:lineRule="exact"/>
              <w:rPr>
                <w:sz w:val="20"/>
                <w:szCs w:val="20"/>
                <w:color w:val="auto"/>
              </w:rPr>
            </w:pPr>
            <w:r>
              <w:rPr>
                <w:rFonts w:ascii="Calibri" w:cs="Calibri" w:eastAsia="Calibri" w:hAnsi="Calibri"/>
                <w:sz w:val="14"/>
                <w:szCs w:val="14"/>
                <w:color w:val="auto"/>
              </w:rPr>
              <w:t>40%</w:t>
            </w:r>
          </w:p>
        </w:tc>
        <w:tc>
          <w:tcPr>
            <w:tcW w:w="980" w:type="dxa"/>
            <w:vAlign w:val="bottom"/>
            <w:gridSpan w:val="2"/>
          </w:tcPr>
          <w:p>
            <w:pPr>
              <w:spacing w:after="0" w:line="167" w:lineRule="exact"/>
              <w:rPr>
                <w:sz w:val="20"/>
                <w:szCs w:val="20"/>
                <w:color w:val="auto"/>
              </w:rPr>
            </w:pPr>
            <w:r>
              <w:rPr>
                <w:rFonts w:ascii="Calibri" w:cs="Calibri" w:eastAsia="Calibri" w:hAnsi="Calibri"/>
                <w:sz w:val="14"/>
                <w:szCs w:val="14"/>
                <w:color w:val="auto"/>
              </w:rPr>
              <w:t>(n=53)</w:t>
            </w:r>
          </w:p>
        </w:tc>
        <w:tc>
          <w:tcPr>
            <w:tcW w:w="1280" w:type="dxa"/>
            <w:vAlign w:val="bottom"/>
            <w:gridSpan w:val="2"/>
          </w:tcPr>
          <w:p>
            <w:pPr>
              <w:jc w:val="right"/>
              <w:ind w:right="20"/>
              <w:spacing w:after="0" w:line="167" w:lineRule="exact"/>
              <w:rPr>
                <w:sz w:val="20"/>
                <w:szCs w:val="20"/>
                <w:color w:val="auto"/>
              </w:rPr>
            </w:pPr>
            <w:r>
              <w:rPr>
                <w:rFonts w:ascii="Calibri" w:cs="Calibri" w:eastAsia="Calibri" w:hAnsi="Calibri"/>
                <w:sz w:val="14"/>
                <w:szCs w:val="14"/>
                <w:color w:val="auto"/>
              </w:rPr>
              <w:t>48% (n=21)</w:t>
            </w:r>
          </w:p>
        </w:tc>
      </w:tr>
      <w:tr>
        <w:trPr>
          <w:trHeight w:val="169"/>
        </w:trPr>
        <w:tc>
          <w:tcPr>
            <w:tcW w:w="1480" w:type="dxa"/>
            <w:vAlign w:val="bottom"/>
            <w:shd w:val="clear" w:color="auto" w:fill="CCEEFF"/>
          </w:tcPr>
          <w:p>
            <w:pPr>
              <w:spacing w:after="0" w:line="168" w:lineRule="exact"/>
              <w:rPr>
                <w:sz w:val="20"/>
                <w:szCs w:val="20"/>
                <w:color w:val="auto"/>
              </w:rPr>
            </w:pPr>
            <w:r>
              <w:rPr>
                <w:rFonts w:ascii="Calibri" w:cs="Calibri" w:eastAsia="Calibri" w:hAnsi="Calibri"/>
                <w:sz w:val="14"/>
                <w:szCs w:val="14"/>
                <w:color w:val="auto"/>
              </w:rPr>
              <w:t>Maintained MMR</w:t>
            </w:r>
          </w:p>
        </w:tc>
        <w:tc>
          <w:tcPr>
            <w:tcW w:w="2540" w:type="dxa"/>
            <w:vAlign w:val="bottom"/>
            <w:gridSpan w:val="2"/>
            <w:shd w:val="clear" w:color="auto" w:fill="CCEEFF"/>
          </w:tcPr>
          <w:p>
            <w:pPr>
              <w:jc w:val="right"/>
              <w:spacing w:after="0" w:line="168" w:lineRule="exact"/>
              <w:rPr>
                <w:sz w:val="20"/>
                <w:szCs w:val="20"/>
                <w:color w:val="auto"/>
              </w:rPr>
            </w:pPr>
            <w:r>
              <w:rPr>
                <w:rFonts w:ascii="Calibri" w:cs="Calibri" w:eastAsia="Calibri" w:hAnsi="Calibri"/>
                <w:sz w:val="14"/>
                <w:szCs w:val="14"/>
                <w:color w:val="auto"/>
              </w:rPr>
              <w:t>100%</w:t>
            </w:r>
          </w:p>
        </w:tc>
        <w:tc>
          <w:tcPr>
            <w:tcW w:w="980" w:type="dxa"/>
            <w:vAlign w:val="bottom"/>
            <w:gridSpan w:val="2"/>
            <w:shd w:val="clear" w:color="auto" w:fill="CCEEFF"/>
          </w:tcPr>
          <w:p>
            <w:pPr>
              <w:spacing w:after="0" w:line="168" w:lineRule="exact"/>
              <w:rPr>
                <w:sz w:val="20"/>
                <w:szCs w:val="20"/>
                <w:color w:val="auto"/>
              </w:rPr>
            </w:pPr>
            <w:r>
              <w:rPr>
                <w:rFonts w:ascii="Calibri" w:cs="Calibri" w:eastAsia="Calibri" w:hAnsi="Calibri"/>
                <w:sz w:val="14"/>
                <w:szCs w:val="14"/>
                <w:color w:val="auto"/>
              </w:rPr>
              <w:t>(n=16)</w:t>
            </w:r>
          </w:p>
        </w:tc>
        <w:tc>
          <w:tcPr>
            <w:tcW w:w="1280" w:type="dxa"/>
            <w:vAlign w:val="bottom"/>
            <w:gridSpan w:val="2"/>
            <w:shd w:val="clear" w:color="auto" w:fill="CCEEFF"/>
          </w:tcPr>
          <w:p>
            <w:pPr>
              <w:jc w:val="right"/>
              <w:ind w:right="20"/>
              <w:spacing w:after="0" w:line="168" w:lineRule="exact"/>
              <w:rPr>
                <w:sz w:val="20"/>
                <w:szCs w:val="20"/>
                <w:color w:val="auto"/>
              </w:rPr>
            </w:pPr>
            <w:r>
              <w:rPr>
                <w:rFonts w:ascii="Calibri" w:cs="Calibri" w:eastAsia="Calibri" w:hAnsi="Calibri"/>
                <w:sz w:val="14"/>
                <w:szCs w:val="14"/>
                <w:color w:val="auto"/>
              </w:rPr>
              <w:t>100% (n=7)</w:t>
            </w:r>
          </w:p>
        </w:tc>
      </w:tr>
    </w:tbl>
    <w:p>
      <w:pPr>
        <w:spacing w:after="0" w:line="168" w:lineRule="exact"/>
        <w:rPr>
          <w:sz w:val="20"/>
          <w:szCs w:val="20"/>
          <w:color w:val="auto"/>
        </w:rPr>
      </w:pPr>
    </w:p>
    <w:p>
      <w:pPr>
        <w:ind w:left="1080" w:hanging="310"/>
        <w:spacing w:after="0"/>
        <w:tabs>
          <w:tab w:leader="none" w:pos="1080" w:val="left"/>
        </w:tabs>
        <w:numPr>
          <w:ilvl w:val="0"/>
          <w:numId w:val="7"/>
        </w:numPr>
        <w:rPr>
          <w:rFonts w:ascii="Calibri" w:cs="Calibri" w:eastAsia="Calibri" w:hAnsi="Calibri"/>
          <w:sz w:val="14"/>
          <w:szCs w:val="14"/>
          <w:color w:val="auto"/>
        </w:rPr>
      </w:pPr>
      <w:r>
        <w:rPr>
          <w:rFonts w:ascii="Calibri" w:cs="Calibri" w:eastAsia="Calibri" w:hAnsi="Calibri"/>
          <w:sz w:val="14"/>
          <w:szCs w:val="14"/>
          <w:color w:val="auto"/>
        </w:rPr>
        <w:t>Deep Molecular Response (DMR) achievement rates were also encouraging.</w:t>
      </w:r>
    </w:p>
    <w:p>
      <w:pPr>
        <w:spacing w:after="0" w:line="91" w:lineRule="exact"/>
        <w:rPr>
          <w:rFonts w:ascii="Calibri" w:cs="Calibri" w:eastAsia="Calibri" w:hAnsi="Calibri"/>
          <w:sz w:val="14"/>
          <w:szCs w:val="14"/>
          <w:color w:val="auto"/>
        </w:rPr>
      </w:pPr>
    </w:p>
    <w:p>
      <w:pPr>
        <w:ind w:left="1420" w:hanging="240"/>
        <w:spacing w:after="0"/>
        <w:tabs>
          <w:tab w:leader="none" w:pos="1420" w:val="left"/>
        </w:tabs>
        <w:numPr>
          <w:ilvl w:val="1"/>
          <w:numId w:val="7"/>
        </w:numPr>
        <w:rPr>
          <w:rFonts w:ascii="Calibri" w:cs="Calibri" w:eastAsia="Calibri" w:hAnsi="Calibri"/>
          <w:sz w:val="14"/>
          <w:szCs w:val="14"/>
          <w:color w:val="auto"/>
        </w:rPr>
      </w:pPr>
      <w:r>
        <w:rPr>
          <w:rFonts w:ascii="Calibri" w:cs="Calibri" w:eastAsia="Calibri" w:hAnsi="Calibri"/>
          <w:sz w:val="14"/>
          <w:szCs w:val="14"/>
          <w:color w:val="auto"/>
        </w:rPr>
        <w:t>By 24 weeks, DMR was achieved in 22% of patents in the overall Phase 1b and 30% of patents in the 80 mg QD Phase 1b cohort.</w:t>
      </w:r>
    </w:p>
    <w:p>
      <w:pPr>
        <w:spacing w:after="0" w:line="95" w:lineRule="exact"/>
        <w:rPr>
          <w:rFonts w:ascii="Calibri" w:cs="Calibri" w:eastAsia="Calibri" w:hAnsi="Calibri"/>
          <w:sz w:val="14"/>
          <w:szCs w:val="14"/>
          <w:color w:val="auto"/>
        </w:rPr>
      </w:pPr>
    </w:p>
    <w:p>
      <w:pPr>
        <w:ind w:left="1080" w:right="1259" w:hanging="310"/>
        <w:spacing w:after="0" w:line="235" w:lineRule="auto"/>
        <w:tabs>
          <w:tab w:leader="none" w:pos="1080" w:val="left"/>
        </w:tabs>
        <w:numPr>
          <w:ilvl w:val="0"/>
          <w:numId w:val="7"/>
        </w:numPr>
        <w:rPr>
          <w:rFonts w:ascii="Calibri" w:cs="Calibri" w:eastAsia="Calibri" w:hAnsi="Calibri"/>
          <w:sz w:val="14"/>
          <w:szCs w:val="14"/>
          <w:color w:val="auto"/>
        </w:rPr>
      </w:pPr>
      <w:r>
        <w:rPr>
          <w:rFonts w:ascii="Calibri" w:cs="Calibri" w:eastAsia="Calibri" w:hAnsi="Calibri"/>
          <w:sz w:val="14"/>
          <w:szCs w:val="14"/>
          <w:color w:val="auto"/>
        </w:rPr>
        <w:t>Response rates were higher in less heavily pretreated patents, and prior asciminib exposure did not meaningfully impact response rates.</w:t>
      </w:r>
    </w:p>
    <w:p>
      <w:pPr>
        <w:spacing w:after="0" w:line="194" w:lineRule="exact"/>
        <w:rPr>
          <w:sz w:val="20"/>
          <w:szCs w:val="20"/>
          <w:color w:val="auto"/>
        </w:rPr>
      </w:pPr>
    </w:p>
    <w:tbl>
      <w:tblPr>
        <w:tblLayout w:type="fixed"/>
        <w:tblInd w:w="220" w:type="dxa"/>
        <w:tblCellMar>
          <w:top w:w="0" w:type="dxa"/>
          <w:left w:w="0" w:type="dxa"/>
          <w:bottom w:w="0" w:type="dxa"/>
          <w:right w:w="0" w:type="dxa"/>
        </w:tblCellMar>
      </w:tblPr>
      <w:tr>
        <w:trPr>
          <w:trHeight w:val="141"/>
        </w:trPr>
        <w:tc>
          <w:tcPr>
            <w:tcW w:w="114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3720" w:type="dxa"/>
            <w:vAlign w:val="bottom"/>
            <w:gridSpan w:val="4"/>
          </w:tcPr>
          <w:p>
            <w:pPr>
              <w:spacing w:after="0"/>
              <w:rPr>
                <w:sz w:val="20"/>
                <w:szCs w:val="20"/>
                <w:color w:val="auto"/>
              </w:rPr>
            </w:pPr>
            <w:r>
              <w:rPr>
                <w:rFonts w:ascii="Calibri" w:cs="Calibri" w:eastAsia="Calibri" w:hAnsi="Calibri"/>
                <w:sz w:val="11"/>
                <w:szCs w:val="11"/>
                <w:b w:val="1"/>
                <w:bCs w:val="1"/>
                <w:color w:val="auto"/>
              </w:rPr>
              <w:t>Achieved Response Rates by 24-weeks (n = evaluable for MMR)</w:t>
            </w:r>
          </w:p>
        </w:tc>
        <w:tc>
          <w:tcPr>
            <w:tcW w:w="90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1"/>
        </w:trPr>
        <w:tc>
          <w:tcPr>
            <w:tcW w:w="1140" w:type="dxa"/>
            <w:vAlign w:val="bottom"/>
          </w:tcPr>
          <w:p>
            <w:pPr>
              <w:spacing w:after="0"/>
              <w:rPr>
                <w:sz w:val="10"/>
                <w:szCs w:val="10"/>
                <w:color w:val="auto"/>
              </w:rPr>
            </w:pPr>
          </w:p>
        </w:tc>
        <w:tc>
          <w:tcPr>
            <w:tcW w:w="1660" w:type="dxa"/>
            <w:vAlign w:val="bottom"/>
            <w:gridSpan w:val="2"/>
            <w:vMerge w:val="restart"/>
          </w:tcPr>
          <w:p>
            <w:pPr>
              <w:spacing w:after="0"/>
              <w:rPr>
                <w:sz w:val="20"/>
                <w:szCs w:val="20"/>
                <w:color w:val="auto"/>
              </w:rPr>
            </w:pPr>
            <w:r>
              <w:rPr>
                <w:rFonts w:ascii="Calibri" w:cs="Calibri" w:eastAsia="Calibri" w:hAnsi="Calibri"/>
                <w:sz w:val="11"/>
                <w:szCs w:val="11"/>
                <w:b w:val="1"/>
                <w:bCs w:val="1"/>
                <w:color w:val="auto"/>
              </w:rPr>
              <w:t>Prior number of unique TKIs:</w:t>
            </w:r>
          </w:p>
        </w:tc>
        <w:tc>
          <w:tcPr>
            <w:tcW w:w="2540" w:type="dxa"/>
            <w:vAlign w:val="bottom"/>
            <w:tcBorders>
              <w:top w:val="single" w:sz="8" w:color="auto"/>
            </w:tcBorders>
          </w:tcPr>
          <w:p>
            <w:pPr>
              <w:spacing w:after="0"/>
              <w:rPr>
                <w:sz w:val="10"/>
                <w:szCs w:val="10"/>
                <w:color w:val="auto"/>
              </w:rPr>
            </w:pPr>
          </w:p>
        </w:tc>
        <w:tc>
          <w:tcPr>
            <w:tcW w:w="400" w:type="dxa"/>
            <w:vAlign w:val="bottom"/>
            <w:tcBorders>
              <w:top w:val="single" w:sz="8" w:color="auto"/>
            </w:tcBorders>
          </w:tcPr>
          <w:p>
            <w:pPr>
              <w:spacing w:after="0"/>
              <w:rPr>
                <w:sz w:val="10"/>
                <w:szCs w:val="10"/>
                <w:color w:val="auto"/>
              </w:rPr>
            </w:pPr>
          </w:p>
        </w:tc>
        <w:tc>
          <w:tcPr>
            <w:tcW w:w="44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2060" w:type="dxa"/>
            <w:vAlign w:val="bottom"/>
            <w:gridSpan w:val="2"/>
          </w:tcPr>
          <w:p>
            <w:pPr>
              <w:jc w:val="center"/>
              <w:ind w:right="1180"/>
              <w:spacing w:after="0" w:line="121" w:lineRule="exact"/>
              <w:rPr>
                <w:sz w:val="20"/>
                <w:szCs w:val="20"/>
                <w:color w:val="auto"/>
              </w:rPr>
            </w:pPr>
            <w:r>
              <w:rPr>
                <w:rFonts w:ascii="Calibri" w:cs="Calibri" w:eastAsia="Calibri" w:hAnsi="Calibri"/>
                <w:sz w:val="11"/>
                <w:szCs w:val="11"/>
                <w:b w:val="1"/>
                <w:bCs w:val="1"/>
                <w:color w:val="auto"/>
              </w:rPr>
              <w:t>Phase 1b post-</w:t>
            </w:r>
          </w:p>
        </w:tc>
        <w:tc>
          <w:tcPr>
            <w:tcW w:w="0" w:type="dxa"/>
            <w:vAlign w:val="bottom"/>
          </w:tcPr>
          <w:p>
            <w:pPr>
              <w:spacing w:after="0"/>
              <w:rPr>
                <w:sz w:val="1"/>
                <w:szCs w:val="1"/>
                <w:color w:val="auto"/>
              </w:rPr>
            </w:pPr>
          </w:p>
        </w:tc>
      </w:tr>
      <w:tr>
        <w:trPr>
          <w:trHeight w:val="159"/>
        </w:trPr>
        <w:tc>
          <w:tcPr>
            <w:tcW w:w="1140" w:type="dxa"/>
            <w:vAlign w:val="bottom"/>
          </w:tcPr>
          <w:p>
            <w:pPr>
              <w:spacing w:after="0"/>
              <w:rPr>
                <w:sz w:val="13"/>
                <w:szCs w:val="13"/>
                <w:color w:val="auto"/>
              </w:rPr>
            </w:pPr>
          </w:p>
        </w:tc>
        <w:tc>
          <w:tcPr>
            <w:tcW w:w="1660" w:type="dxa"/>
            <w:vAlign w:val="bottom"/>
            <w:gridSpan w:val="2"/>
            <w:vMerge w:val="continue"/>
          </w:tcPr>
          <w:p>
            <w:pPr>
              <w:spacing w:after="0"/>
              <w:rPr>
                <w:sz w:val="13"/>
                <w:szCs w:val="13"/>
                <w:color w:val="auto"/>
              </w:rPr>
            </w:pPr>
          </w:p>
        </w:tc>
        <w:tc>
          <w:tcPr>
            <w:tcW w:w="2540" w:type="dxa"/>
            <w:vAlign w:val="bottom"/>
          </w:tcPr>
          <w:p>
            <w:pPr>
              <w:spacing w:after="0"/>
              <w:rPr>
                <w:sz w:val="13"/>
                <w:szCs w:val="13"/>
                <w:color w:val="auto"/>
              </w:rPr>
            </w:pPr>
          </w:p>
        </w:tc>
        <w:tc>
          <w:tcPr>
            <w:tcW w:w="1180" w:type="dxa"/>
            <w:vAlign w:val="bottom"/>
            <w:gridSpan w:val="3"/>
          </w:tcPr>
          <w:p>
            <w:pPr>
              <w:ind w:left="40"/>
              <w:spacing w:after="0"/>
              <w:rPr>
                <w:sz w:val="20"/>
                <w:szCs w:val="20"/>
                <w:color w:val="auto"/>
              </w:rPr>
            </w:pPr>
            <w:r>
              <w:rPr>
                <w:rFonts w:ascii="Calibri" w:cs="Calibri" w:eastAsia="Calibri" w:hAnsi="Calibri"/>
                <w:sz w:val="11"/>
                <w:szCs w:val="11"/>
                <w:b w:val="1"/>
                <w:bCs w:val="1"/>
                <w:color w:val="auto"/>
              </w:rPr>
              <w:t>Phase 1b (n=69)</w:t>
            </w:r>
          </w:p>
        </w:tc>
        <w:tc>
          <w:tcPr>
            <w:tcW w:w="2060" w:type="dxa"/>
            <w:vAlign w:val="bottom"/>
            <w:gridSpan w:val="2"/>
          </w:tcPr>
          <w:p>
            <w:pPr>
              <w:jc w:val="center"/>
              <w:ind w:right="1200"/>
              <w:spacing w:after="0"/>
              <w:rPr>
                <w:sz w:val="20"/>
                <w:szCs w:val="20"/>
                <w:color w:val="auto"/>
              </w:rPr>
            </w:pPr>
            <w:r>
              <w:rPr>
                <w:rFonts w:ascii="Calibri" w:cs="Calibri" w:eastAsia="Calibri" w:hAnsi="Calibri"/>
                <w:sz w:val="11"/>
                <w:szCs w:val="11"/>
                <w:b w:val="1"/>
                <w:bCs w:val="1"/>
                <w:color w:val="auto"/>
              </w:rPr>
              <w:t>asciminib (n=43)</w:t>
            </w:r>
          </w:p>
        </w:tc>
        <w:tc>
          <w:tcPr>
            <w:tcW w:w="0" w:type="dxa"/>
            <w:vAlign w:val="bottom"/>
          </w:tcPr>
          <w:p>
            <w:pPr>
              <w:spacing w:after="0"/>
              <w:rPr>
                <w:sz w:val="1"/>
                <w:szCs w:val="1"/>
                <w:color w:val="auto"/>
              </w:rPr>
            </w:pPr>
          </w:p>
        </w:tc>
      </w:tr>
      <w:tr>
        <w:trPr>
          <w:trHeight w:val="152"/>
        </w:trPr>
        <w:tc>
          <w:tcPr>
            <w:tcW w:w="1140" w:type="dxa"/>
            <w:vAlign w:val="bottom"/>
          </w:tcPr>
          <w:p>
            <w:pPr>
              <w:spacing w:after="0"/>
              <w:rPr>
                <w:sz w:val="13"/>
                <w:szCs w:val="13"/>
                <w:color w:val="auto"/>
              </w:rPr>
            </w:pPr>
          </w:p>
        </w:tc>
        <w:tc>
          <w:tcPr>
            <w:tcW w:w="1340" w:type="dxa"/>
            <w:vAlign w:val="bottom"/>
            <w:tcBorders>
              <w:top w:val="single" w:sz="8" w:color="auto"/>
            </w:tcBorders>
            <w:shd w:val="clear" w:color="auto" w:fill="CCEEFF"/>
          </w:tcPr>
          <w:p>
            <w:pPr>
              <w:spacing w:after="0" w:line="147" w:lineRule="exact"/>
              <w:rPr>
                <w:sz w:val="20"/>
                <w:szCs w:val="20"/>
                <w:color w:val="auto"/>
              </w:rPr>
            </w:pPr>
            <w:r>
              <w:rPr>
                <w:rFonts w:ascii="Calibri" w:cs="Calibri" w:eastAsia="Calibri" w:hAnsi="Calibri"/>
                <w:sz w:val="14"/>
                <w:szCs w:val="14"/>
                <w:color w:val="auto"/>
              </w:rPr>
              <w:t>1-2</w:t>
            </w:r>
          </w:p>
        </w:tc>
        <w:tc>
          <w:tcPr>
            <w:tcW w:w="320" w:type="dxa"/>
            <w:vAlign w:val="bottom"/>
            <w:tcBorders>
              <w:top w:val="single" w:sz="8" w:color="CCEEFF"/>
            </w:tcBorders>
            <w:shd w:val="clear" w:color="auto" w:fill="CCEEFF"/>
          </w:tcPr>
          <w:p>
            <w:pPr>
              <w:spacing w:after="0"/>
              <w:rPr>
                <w:sz w:val="13"/>
                <w:szCs w:val="13"/>
                <w:color w:val="auto"/>
              </w:rPr>
            </w:pPr>
          </w:p>
        </w:tc>
        <w:tc>
          <w:tcPr>
            <w:tcW w:w="2540" w:type="dxa"/>
            <w:vAlign w:val="bottom"/>
            <w:tcBorders>
              <w:top w:val="single" w:sz="8" w:color="CCEEFF"/>
            </w:tcBorders>
            <w:shd w:val="clear" w:color="auto" w:fill="CCEEFF"/>
          </w:tcPr>
          <w:p>
            <w:pPr>
              <w:spacing w:after="0"/>
              <w:rPr>
                <w:sz w:val="13"/>
                <w:szCs w:val="13"/>
                <w:color w:val="auto"/>
              </w:rPr>
            </w:pPr>
          </w:p>
        </w:tc>
        <w:tc>
          <w:tcPr>
            <w:tcW w:w="840" w:type="dxa"/>
            <w:vAlign w:val="bottom"/>
            <w:tcBorders>
              <w:top w:val="single" w:sz="8" w:color="auto"/>
            </w:tcBorders>
            <w:gridSpan w:val="2"/>
            <w:shd w:val="clear" w:color="auto" w:fill="CCEEFF"/>
          </w:tcPr>
          <w:p>
            <w:pPr>
              <w:ind w:left="220"/>
              <w:spacing w:after="0" w:line="152" w:lineRule="exact"/>
              <w:rPr>
                <w:sz w:val="20"/>
                <w:szCs w:val="20"/>
                <w:color w:val="auto"/>
              </w:rPr>
            </w:pPr>
            <w:r>
              <w:rPr>
                <w:rFonts w:ascii="Calibri" w:cs="Calibri" w:eastAsia="Calibri" w:hAnsi="Calibri"/>
                <w:sz w:val="14"/>
                <w:szCs w:val="14"/>
                <w:color w:val="auto"/>
                <w:w w:val="93"/>
              </w:rPr>
              <w:t>55% (n=27)</w:t>
            </w:r>
          </w:p>
        </w:tc>
        <w:tc>
          <w:tcPr>
            <w:tcW w:w="340" w:type="dxa"/>
            <w:vAlign w:val="bottom"/>
            <w:tcBorders>
              <w:top w:val="single" w:sz="8" w:color="CCEEFF"/>
            </w:tcBorders>
            <w:shd w:val="clear" w:color="auto" w:fill="CCEEFF"/>
          </w:tcPr>
          <w:p>
            <w:pPr>
              <w:spacing w:after="0"/>
              <w:rPr>
                <w:sz w:val="13"/>
                <w:szCs w:val="13"/>
                <w:color w:val="auto"/>
              </w:rPr>
            </w:pPr>
          </w:p>
        </w:tc>
        <w:tc>
          <w:tcPr>
            <w:tcW w:w="900" w:type="dxa"/>
            <w:vAlign w:val="bottom"/>
            <w:tcBorders>
              <w:top w:val="single" w:sz="8" w:color="auto"/>
              <w:right w:val="single" w:sz="8" w:color="CCEEFF"/>
            </w:tcBorders>
            <w:shd w:val="clear" w:color="auto" w:fill="CCEEFF"/>
          </w:tcPr>
          <w:p>
            <w:pPr>
              <w:jc w:val="right"/>
              <w:spacing w:after="0" w:line="152" w:lineRule="exact"/>
              <w:rPr>
                <w:sz w:val="20"/>
                <w:szCs w:val="20"/>
                <w:color w:val="auto"/>
              </w:rPr>
            </w:pPr>
            <w:r>
              <w:rPr>
                <w:rFonts w:ascii="Calibri" w:cs="Calibri" w:eastAsia="Calibri" w:hAnsi="Calibri"/>
                <w:sz w:val="14"/>
                <w:szCs w:val="14"/>
                <w:color w:val="auto"/>
              </w:rPr>
              <w:t>60% (n=6)</w:t>
            </w:r>
          </w:p>
        </w:tc>
        <w:tc>
          <w:tcPr>
            <w:tcW w:w="1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7"/>
        </w:trPr>
        <w:tc>
          <w:tcPr>
            <w:tcW w:w="1140" w:type="dxa"/>
            <w:vAlign w:val="bottom"/>
          </w:tcPr>
          <w:p>
            <w:pPr>
              <w:spacing w:after="0"/>
              <w:rPr>
                <w:sz w:val="14"/>
                <w:szCs w:val="14"/>
                <w:color w:val="auto"/>
              </w:rPr>
            </w:pPr>
          </w:p>
        </w:tc>
        <w:tc>
          <w:tcPr>
            <w:tcW w:w="1340" w:type="dxa"/>
            <w:vAlign w:val="bottom"/>
          </w:tcPr>
          <w:p>
            <w:pPr>
              <w:spacing w:after="0" w:line="167" w:lineRule="exact"/>
              <w:rPr>
                <w:sz w:val="20"/>
                <w:szCs w:val="20"/>
                <w:color w:val="auto"/>
              </w:rPr>
            </w:pPr>
            <w:r>
              <w:rPr>
                <w:rFonts w:ascii="Calibri" w:cs="Calibri" w:eastAsia="Calibri" w:hAnsi="Calibri"/>
                <w:sz w:val="14"/>
                <w:szCs w:val="14"/>
                <w:color w:val="auto"/>
              </w:rPr>
              <w:t>3-4</w:t>
            </w:r>
          </w:p>
        </w:tc>
        <w:tc>
          <w:tcPr>
            <w:tcW w:w="320" w:type="dxa"/>
            <w:vAlign w:val="bottom"/>
          </w:tcPr>
          <w:p>
            <w:pPr>
              <w:spacing w:after="0"/>
              <w:rPr>
                <w:sz w:val="14"/>
                <w:szCs w:val="14"/>
                <w:color w:val="auto"/>
              </w:rPr>
            </w:pPr>
          </w:p>
        </w:tc>
        <w:tc>
          <w:tcPr>
            <w:tcW w:w="2540" w:type="dxa"/>
            <w:vAlign w:val="bottom"/>
          </w:tcPr>
          <w:p>
            <w:pPr>
              <w:spacing w:after="0"/>
              <w:rPr>
                <w:sz w:val="14"/>
                <w:szCs w:val="14"/>
                <w:color w:val="auto"/>
              </w:rPr>
            </w:pPr>
          </w:p>
        </w:tc>
        <w:tc>
          <w:tcPr>
            <w:tcW w:w="1180" w:type="dxa"/>
            <w:vAlign w:val="bottom"/>
            <w:gridSpan w:val="3"/>
          </w:tcPr>
          <w:p>
            <w:pPr>
              <w:ind w:left="220"/>
              <w:spacing w:after="0" w:line="167" w:lineRule="exact"/>
              <w:rPr>
                <w:sz w:val="20"/>
                <w:szCs w:val="20"/>
                <w:color w:val="auto"/>
              </w:rPr>
            </w:pPr>
            <w:r>
              <w:rPr>
                <w:rFonts w:ascii="Calibri" w:cs="Calibri" w:eastAsia="Calibri" w:hAnsi="Calibri"/>
                <w:sz w:val="14"/>
                <w:szCs w:val="14"/>
                <w:color w:val="auto"/>
              </w:rPr>
              <w:t>32% (n=26)</w:t>
            </w:r>
          </w:p>
        </w:tc>
        <w:tc>
          <w:tcPr>
            <w:tcW w:w="900" w:type="dxa"/>
            <w:vAlign w:val="bottom"/>
          </w:tcPr>
          <w:p>
            <w:pPr>
              <w:jc w:val="right"/>
              <w:spacing w:after="0" w:line="167" w:lineRule="exact"/>
              <w:rPr>
                <w:sz w:val="20"/>
                <w:szCs w:val="20"/>
                <w:color w:val="auto"/>
              </w:rPr>
            </w:pPr>
            <w:r>
              <w:rPr>
                <w:rFonts w:ascii="Calibri" w:cs="Calibri" w:eastAsia="Calibri" w:hAnsi="Calibri"/>
                <w:sz w:val="14"/>
                <w:szCs w:val="14"/>
                <w:color w:val="auto"/>
              </w:rPr>
              <w:t>28% (n=22)</w:t>
            </w:r>
          </w:p>
        </w:tc>
        <w:tc>
          <w:tcPr>
            <w:tcW w:w="1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1140" w:type="dxa"/>
            <w:vAlign w:val="bottom"/>
          </w:tcPr>
          <w:p>
            <w:pPr>
              <w:spacing w:after="0"/>
              <w:rPr>
                <w:sz w:val="14"/>
                <w:szCs w:val="14"/>
                <w:color w:val="auto"/>
              </w:rPr>
            </w:pPr>
          </w:p>
        </w:tc>
        <w:tc>
          <w:tcPr>
            <w:tcW w:w="1340" w:type="dxa"/>
            <w:vAlign w:val="bottom"/>
            <w:shd w:val="clear" w:color="auto" w:fill="CCEEFF"/>
          </w:tcPr>
          <w:p>
            <w:pPr>
              <w:spacing w:after="0" w:line="168" w:lineRule="exact"/>
              <w:rPr>
                <w:sz w:val="20"/>
                <w:szCs w:val="20"/>
                <w:color w:val="auto"/>
              </w:rPr>
            </w:pPr>
            <w:r>
              <w:rPr>
                <w:rFonts w:ascii="Calibri" w:cs="Calibri" w:eastAsia="Calibri" w:hAnsi="Calibri"/>
                <w:sz w:val="14"/>
                <w:szCs w:val="14"/>
                <w:color w:val="auto"/>
              </w:rPr>
              <w:t>5+</w:t>
            </w:r>
          </w:p>
        </w:tc>
        <w:tc>
          <w:tcPr>
            <w:tcW w:w="320" w:type="dxa"/>
            <w:vAlign w:val="bottom"/>
            <w:shd w:val="clear" w:color="auto" w:fill="CCEEFF"/>
          </w:tcPr>
          <w:p>
            <w:pPr>
              <w:spacing w:after="0"/>
              <w:rPr>
                <w:sz w:val="14"/>
                <w:szCs w:val="14"/>
                <w:color w:val="auto"/>
              </w:rPr>
            </w:pPr>
          </w:p>
        </w:tc>
        <w:tc>
          <w:tcPr>
            <w:tcW w:w="2540" w:type="dxa"/>
            <w:vAlign w:val="bottom"/>
            <w:shd w:val="clear" w:color="auto" w:fill="CCEEFF"/>
          </w:tcPr>
          <w:p>
            <w:pPr>
              <w:spacing w:after="0"/>
              <w:rPr>
                <w:sz w:val="14"/>
                <w:szCs w:val="14"/>
                <w:color w:val="auto"/>
              </w:rPr>
            </w:pPr>
          </w:p>
        </w:tc>
        <w:tc>
          <w:tcPr>
            <w:tcW w:w="1180" w:type="dxa"/>
            <w:vAlign w:val="bottom"/>
            <w:gridSpan w:val="3"/>
            <w:shd w:val="clear" w:color="auto" w:fill="CCEEFF"/>
          </w:tcPr>
          <w:p>
            <w:pPr>
              <w:ind w:left="220"/>
              <w:spacing w:after="0" w:line="168" w:lineRule="exact"/>
              <w:rPr>
                <w:sz w:val="20"/>
                <w:szCs w:val="20"/>
                <w:color w:val="auto"/>
              </w:rPr>
            </w:pPr>
            <w:r>
              <w:rPr>
                <w:rFonts w:ascii="Calibri" w:cs="Calibri" w:eastAsia="Calibri" w:hAnsi="Calibri"/>
                <w:sz w:val="14"/>
                <w:szCs w:val="14"/>
                <w:color w:val="auto"/>
              </w:rPr>
              <w:t>29% (n=16)</w:t>
            </w:r>
          </w:p>
        </w:tc>
        <w:tc>
          <w:tcPr>
            <w:tcW w:w="900" w:type="dxa"/>
            <w:vAlign w:val="bottom"/>
            <w:tcBorders>
              <w:right w:val="single" w:sz="8" w:color="CCEEFF"/>
            </w:tcBorders>
            <w:shd w:val="clear" w:color="auto" w:fill="CCEEFF"/>
          </w:tcPr>
          <w:p>
            <w:pPr>
              <w:jc w:val="right"/>
              <w:spacing w:after="0" w:line="168" w:lineRule="exact"/>
              <w:rPr>
                <w:sz w:val="20"/>
                <w:szCs w:val="20"/>
                <w:color w:val="auto"/>
              </w:rPr>
            </w:pPr>
            <w:r>
              <w:rPr>
                <w:rFonts w:ascii="Calibri" w:cs="Calibri" w:eastAsia="Calibri" w:hAnsi="Calibri"/>
                <w:sz w:val="14"/>
                <w:szCs w:val="14"/>
                <w:color w:val="auto"/>
              </w:rPr>
              <w:t>29% (n=15)</w:t>
            </w:r>
          </w:p>
        </w:tc>
        <w:tc>
          <w:tcPr>
            <w:tcW w:w="1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2"/>
        </w:trPr>
        <w:tc>
          <w:tcPr>
            <w:tcW w:w="1140" w:type="dxa"/>
            <w:vAlign w:val="bottom"/>
            <w:tcBorders>
              <w:bottom w:val="single" w:sz="8" w:color="auto"/>
            </w:tcBorders>
          </w:tcPr>
          <w:p>
            <w:pPr>
              <w:spacing w:after="0"/>
              <w:rPr>
                <w:sz w:val="11"/>
                <w:szCs w:val="11"/>
                <w:color w:val="auto"/>
              </w:rPr>
            </w:pPr>
          </w:p>
        </w:tc>
        <w:tc>
          <w:tcPr>
            <w:tcW w:w="1340" w:type="dxa"/>
            <w:vAlign w:val="bottom"/>
            <w:tcBorders>
              <w:bottom w:val="single" w:sz="8" w:color="auto"/>
            </w:tcBorders>
          </w:tcPr>
          <w:p>
            <w:pPr>
              <w:spacing w:after="0"/>
              <w:rPr>
                <w:sz w:val="11"/>
                <w:szCs w:val="11"/>
                <w:color w:val="auto"/>
              </w:rPr>
            </w:pPr>
          </w:p>
        </w:tc>
        <w:tc>
          <w:tcPr>
            <w:tcW w:w="320" w:type="dxa"/>
            <w:vAlign w:val="bottom"/>
            <w:tcBorders>
              <w:bottom w:val="single" w:sz="8" w:color="auto"/>
            </w:tcBorders>
          </w:tcPr>
          <w:p>
            <w:pPr>
              <w:spacing w:after="0"/>
              <w:rPr>
                <w:sz w:val="11"/>
                <w:szCs w:val="11"/>
                <w:color w:val="auto"/>
              </w:rPr>
            </w:pPr>
          </w:p>
        </w:tc>
        <w:tc>
          <w:tcPr>
            <w:tcW w:w="2540" w:type="dxa"/>
            <w:vAlign w:val="bottom"/>
            <w:tcBorders>
              <w:bottom w:val="single" w:sz="8" w:color="auto"/>
            </w:tcBorders>
          </w:tcPr>
          <w:p>
            <w:pPr>
              <w:spacing w:after="0"/>
              <w:rPr>
                <w:sz w:val="11"/>
                <w:szCs w:val="11"/>
                <w:color w:val="auto"/>
              </w:rPr>
            </w:pPr>
          </w:p>
        </w:tc>
        <w:tc>
          <w:tcPr>
            <w:tcW w:w="400" w:type="dxa"/>
            <w:vAlign w:val="bottom"/>
            <w:tcBorders>
              <w:bottom w:val="single" w:sz="8" w:color="auto"/>
            </w:tcBorders>
          </w:tcPr>
          <w:p>
            <w:pPr>
              <w:spacing w:after="0"/>
              <w:rPr>
                <w:sz w:val="11"/>
                <w:szCs w:val="11"/>
                <w:color w:val="auto"/>
              </w:rPr>
            </w:pPr>
          </w:p>
        </w:tc>
        <w:tc>
          <w:tcPr>
            <w:tcW w:w="440" w:type="dxa"/>
            <w:vAlign w:val="bottom"/>
            <w:tcBorders>
              <w:bottom w:val="single" w:sz="8" w:color="auto"/>
            </w:tcBorders>
          </w:tcPr>
          <w:p>
            <w:pPr>
              <w:spacing w:after="0"/>
              <w:rPr>
                <w:sz w:val="11"/>
                <w:szCs w:val="11"/>
                <w:color w:val="auto"/>
              </w:rPr>
            </w:pPr>
          </w:p>
        </w:tc>
        <w:tc>
          <w:tcPr>
            <w:tcW w:w="340" w:type="dxa"/>
            <w:vAlign w:val="bottom"/>
            <w:tcBorders>
              <w:bottom w:val="single" w:sz="8" w:color="auto"/>
            </w:tcBorders>
          </w:tcPr>
          <w:p>
            <w:pPr>
              <w:spacing w:after="0"/>
              <w:rPr>
                <w:sz w:val="11"/>
                <w:szCs w:val="11"/>
                <w:color w:val="auto"/>
              </w:rPr>
            </w:pPr>
          </w:p>
        </w:tc>
        <w:tc>
          <w:tcPr>
            <w:tcW w:w="900" w:type="dxa"/>
            <w:vAlign w:val="bottom"/>
            <w:tcBorders>
              <w:bottom w:val="single" w:sz="8" w:color="auto"/>
            </w:tcBorders>
          </w:tcPr>
          <w:p>
            <w:pPr>
              <w:spacing w:after="0"/>
              <w:rPr>
                <w:sz w:val="11"/>
                <w:szCs w:val="11"/>
                <w:color w:val="auto"/>
              </w:rPr>
            </w:pPr>
          </w:p>
        </w:tc>
        <w:tc>
          <w:tcPr>
            <w:tcW w:w="116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260"/>
        </w:trPr>
        <w:tc>
          <w:tcPr>
            <w:tcW w:w="114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3720" w:type="dxa"/>
            <w:vAlign w:val="bottom"/>
            <w:gridSpan w:val="4"/>
          </w:tcPr>
          <w:p>
            <w:pPr>
              <w:ind w:left="1400"/>
              <w:spacing w:after="0"/>
              <w:rPr>
                <w:sz w:val="20"/>
                <w:szCs w:val="20"/>
                <w:color w:val="auto"/>
              </w:rPr>
            </w:pPr>
            <w:r>
              <w:rPr>
                <w:rFonts w:ascii="Calibri" w:cs="Calibri" w:eastAsia="Calibri" w:hAnsi="Calibri"/>
                <w:sz w:val="14"/>
                <w:szCs w:val="14"/>
                <w:color w:val="auto"/>
              </w:rPr>
              <w:t>S-8</w:t>
            </w:r>
          </w:p>
        </w:tc>
        <w:tc>
          <w:tcPr>
            <w:tcW w:w="90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385" w:right="1440" w:bottom="1440" w:gutter="0" w:footer="0" w:header="0"/>
        </w:sectPr>
      </w:pPr>
    </w:p>
    <w:bookmarkStart w:id="10" w:name="page11"/>
    <w:bookmarkEnd w:id="10"/>
    <w:p>
      <w:pPr>
        <w:ind w:left="360"/>
        <w:spacing w:after="0"/>
        <w:rPr>
          <w:sz w:val="20"/>
          <w:szCs w:val="20"/>
          <w:color w:val="auto"/>
        </w:rPr>
      </w:pPr>
      <w:r>
        <w:rPr>
          <w:rFonts w:ascii="Calibri" w:cs="Calibri" w:eastAsia="Calibri" w:hAnsi="Calibri"/>
          <w:sz w:val="14"/>
          <w:szCs w:val="14"/>
          <w:b w:val="1"/>
          <w:bCs w:val="1"/>
          <w:color w:val="auto"/>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4864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01535" cy="4864735"/>
                    </a:xfrm>
                    <a:prstGeom prst="rect">
                      <a:avLst/>
                    </a:prstGeom>
                    <a:noFill/>
                  </pic:spPr>
                </pic:pic>
              </a:graphicData>
            </a:graphic>
          </wp:anchor>
        </w:drawing>
        <w:t>ELVN-001’s Safety Profle Consistent with High Selectvity for ABL1</w:t>
      </w:r>
    </w:p>
    <w:p>
      <w:pPr>
        <w:spacing w:after="0" w:line="92" w:lineRule="exact"/>
        <w:rPr>
          <w:sz w:val="20"/>
          <w:szCs w:val="20"/>
          <w:color w:val="auto"/>
        </w:rPr>
      </w:pPr>
    </w:p>
    <w:p>
      <w:pPr>
        <w:ind w:left="1080" w:hanging="310"/>
        <w:spacing w:after="0"/>
        <w:tabs>
          <w:tab w:leader="none" w:pos="1080" w:val="left"/>
        </w:tabs>
        <w:numPr>
          <w:ilvl w:val="0"/>
          <w:numId w:val="8"/>
        </w:numPr>
        <w:rPr>
          <w:rFonts w:ascii="Calibri" w:cs="Calibri" w:eastAsia="Calibri" w:hAnsi="Calibri"/>
          <w:sz w:val="14"/>
          <w:szCs w:val="14"/>
          <w:color w:val="auto"/>
        </w:rPr>
      </w:pPr>
      <w:r>
        <w:rPr>
          <w:rFonts w:ascii="Calibri" w:cs="Calibri" w:eastAsia="Calibri" w:hAnsi="Calibri"/>
          <w:sz w:val="14"/>
          <w:szCs w:val="14"/>
          <w:color w:val="auto"/>
        </w:rPr>
        <w:t>ELVN-001 was generally well-tolerated, consistent with its high selectvity.</w:t>
      </w:r>
    </w:p>
    <w:p>
      <w:pPr>
        <w:spacing w:after="0" w:line="91" w:lineRule="exact"/>
        <w:rPr>
          <w:rFonts w:ascii="Calibri" w:cs="Calibri" w:eastAsia="Calibri" w:hAnsi="Calibri"/>
          <w:sz w:val="14"/>
          <w:szCs w:val="14"/>
          <w:color w:val="auto"/>
        </w:rPr>
      </w:pPr>
    </w:p>
    <w:p>
      <w:pPr>
        <w:ind w:left="1080" w:hanging="310"/>
        <w:spacing w:after="0"/>
        <w:tabs>
          <w:tab w:leader="none" w:pos="1080" w:val="left"/>
        </w:tabs>
        <w:numPr>
          <w:ilvl w:val="0"/>
          <w:numId w:val="8"/>
        </w:numPr>
        <w:rPr>
          <w:rFonts w:ascii="Calibri" w:cs="Calibri" w:eastAsia="Calibri" w:hAnsi="Calibri"/>
          <w:sz w:val="14"/>
          <w:szCs w:val="14"/>
          <w:color w:val="auto"/>
        </w:rPr>
      </w:pPr>
      <w:r>
        <w:rPr>
          <w:rFonts w:ascii="Calibri" w:cs="Calibri" w:eastAsia="Calibri" w:hAnsi="Calibri"/>
          <w:sz w:val="14"/>
          <w:szCs w:val="14"/>
          <w:color w:val="auto"/>
        </w:rPr>
        <w:t>6% of patents discontnued due to adverse events.</w:t>
      </w:r>
    </w:p>
    <w:p>
      <w:pPr>
        <w:spacing w:after="0" w:line="91" w:lineRule="exact"/>
        <w:rPr>
          <w:rFonts w:ascii="Calibri" w:cs="Calibri" w:eastAsia="Calibri" w:hAnsi="Calibri"/>
          <w:sz w:val="14"/>
          <w:szCs w:val="14"/>
          <w:color w:val="auto"/>
        </w:rPr>
      </w:pPr>
    </w:p>
    <w:p>
      <w:pPr>
        <w:ind w:left="1080" w:hanging="310"/>
        <w:spacing w:after="0"/>
        <w:tabs>
          <w:tab w:leader="none" w:pos="1080" w:val="left"/>
        </w:tabs>
        <w:numPr>
          <w:ilvl w:val="0"/>
          <w:numId w:val="8"/>
        </w:numPr>
        <w:rPr>
          <w:rFonts w:ascii="Calibri" w:cs="Calibri" w:eastAsia="Calibri" w:hAnsi="Calibri"/>
          <w:sz w:val="14"/>
          <w:szCs w:val="14"/>
          <w:color w:val="auto"/>
        </w:rPr>
      </w:pPr>
      <w:r>
        <w:rPr>
          <w:rFonts w:ascii="Calibri" w:cs="Calibri" w:eastAsia="Calibri" w:hAnsi="Calibri"/>
          <w:sz w:val="14"/>
          <w:szCs w:val="14"/>
          <w:color w:val="auto"/>
        </w:rPr>
        <w:t>The majority of treatment-emergent adverse events (TEAEs) were Grade 1 or 2.</w:t>
      </w:r>
    </w:p>
    <w:p>
      <w:pPr>
        <w:spacing w:after="0" w:line="98" w:lineRule="exact"/>
        <w:rPr>
          <w:rFonts w:ascii="Calibri" w:cs="Calibri" w:eastAsia="Calibri" w:hAnsi="Calibri"/>
          <w:sz w:val="14"/>
          <w:szCs w:val="14"/>
          <w:color w:val="auto"/>
        </w:rPr>
      </w:pPr>
    </w:p>
    <w:p>
      <w:pPr>
        <w:ind w:left="1080" w:right="619" w:hanging="310"/>
        <w:spacing w:after="0" w:line="241" w:lineRule="auto"/>
        <w:tabs>
          <w:tab w:leader="none" w:pos="1080" w:val="left"/>
        </w:tabs>
        <w:numPr>
          <w:ilvl w:val="0"/>
          <w:numId w:val="8"/>
        </w:numPr>
        <w:rPr>
          <w:rFonts w:ascii="Calibri" w:cs="Calibri" w:eastAsia="Calibri" w:hAnsi="Calibri"/>
          <w:sz w:val="14"/>
          <w:szCs w:val="14"/>
          <w:color w:val="auto"/>
        </w:rPr>
      </w:pPr>
      <w:r>
        <w:rPr>
          <w:rFonts w:ascii="Calibri" w:cs="Calibri" w:eastAsia="Calibri" w:hAnsi="Calibri"/>
          <w:sz w:val="14"/>
          <w:szCs w:val="14"/>
          <w:color w:val="auto"/>
        </w:rPr>
        <w:t xml:space="preserve">Grade </w:t>
      </w:r>
      <w:r>
        <w:rPr>
          <w:rFonts w:ascii="Times New Roman" w:cs="Times New Roman" w:eastAsia="Times New Roman" w:hAnsi="Times New Roman"/>
          <w:sz w:val="14"/>
          <w:szCs w:val="14"/>
          <w:color w:val="auto"/>
        </w:rPr>
        <w:t>≥</w:t>
      </w:r>
      <w:r>
        <w:rPr>
          <w:rFonts w:ascii="Calibri" w:cs="Calibri" w:eastAsia="Calibri" w:hAnsi="Calibri"/>
          <w:sz w:val="14"/>
          <w:szCs w:val="14"/>
          <w:color w:val="auto"/>
        </w:rPr>
        <w:t>3 TEAEs were reported in 53/158 (34%) patents overall; with thrombocytopenia (6%), neutropenia (6%) and lipase elevaton (6%) as the most common.</w:t>
      </w:r>
    </w:p>
    <w:p>
      <w:pPr>
        <w:spacing w:after="0" w:line="97" w:lineRule="exact"/>
        <w:rPr>
          <w:rFonts w:ascii="Calibri" w:cs="Calibri" w:eastAsia="Calibri" w:hAnsi="Calibri"/>
          <w:sz w:val="14"/>
          <w:szCs w:val="14"/>
          <w:color w:val="auto"/>
        </w:rPr>
      </w:pPr>
    </w:p>
    <w:p>
      <w:pPr>
        <w:ind w:left="1420" w:right="1339" w:hanging="240"/>
        <w:spacing w:after="0" w:line="267" w:lineRule="auto"/>
        <w:tabs>
          <w:tab w:leader="none" w:pos="1420" w:val="left"/>
        </w:tabs>
        <w:numPr>
          <w:ilvl w:val="1"/>
          <w:numId w:val="8"/>
        </w:numPr>
        <w:rPr>
          <w:rFonts w:ascii="Calibri" w:cs="Calibri" w:eastAsia="Calibri" w:hAnsi="Calibri"/>
          <w:sz w:val="14"/>
          <w:szCs w:val="14"/>
          <w:color w:val="auto"/>
        </w:rPr>
      </w:pPr>
      <w:r>
        <w:rPr>
          <w:rFonts w:ascii="Calibri" w:cs="Calibri" w:eastAsia="Calibri" w:hAnsi="Calibri"/>
          <w:sz w:val="14"/>
          <w:szCs w:val="14"/>
          <w:color w:val="auto"/>
        </w:rPr>
        <w:t xml:space="preserve">At the biologically optmal dose of 80 mg QD (n=62), Grade </w:t>
      </w:r>
      <w:r>
        <w:rPr>
          <w:rFonts w:ascii="Times New Roman" w:cs="Times New Roman" w:eastAsia="Times New Roman" w:hAnsi="Times New Roman"/>
          <w:sz w:val="14"/>
          <w:szCs w:val="14"/>
          <w:color w:val="auto"/>
        </w:rPr>
        <w:t>≥</w:t>
      </w:r>
      <w:r>
        <w:rPr>
          <w:rFonts w:ascii="Calibri" w:cs="Calibri" w:eastAsia="Calibri" w:hAnsi="Calibri"/>
          <w:sz w:val="14"/>
          <w:szCs w:val="14"/>
          <w:color w:val="auto"/>
        </w:rPr>
        <w:t xml:space="preserve">3 TEAEs were reported in 15/62 (24%) patents, with thrombocytopenia (6%) being the only Grade </w:t>
      </w:r>
      <w:r>
        <w:rPr>
          <w:rFonts w:ascii="Times New Roman" w:cs="Times New Roman" w:eastAsia="Times New Roman" w:hAnsi="Times New Roman"/>
          <w:sz w:val="14"/>
          <w:szCs w:val="14"/>
          <w:color w:val="auto"/>
        </w:rPr>
        <w:t>≥</w:t>
      </w:r>
      <w:r>
        <w:rPr>
          <w:rFonts w:ascii="Calibri" w:cs="Calibri" w:eastAsia="Calibri" w:hAnsi="Calibri"/>
          <w:sz w:val="14"/>
          <w:szCs w:val="14"/>
          <w:color w:val="auto"/>
        </w:rPr>
        <w:t>3 TEAE reported in &gt;5% of patents.</w:t>
      </w:r>
    </w:p>
    <w:p>
      <w:pPr>
        <w:spacing w:after="0" w:line="222" w:lineRule="exact"/>
        <w:rPr>
          <w:sz w:val="20"/>
          <w:szCs w:val="20"/>
          <w:color w:val="auto"/>
        </w:rPr>
      </w:pPr>
    </w:p>
    <w:p>
      <w:pPr>
        <w:ind w:left="360"/>
        <w:spacing w:after="0"/>
        <w:rPr>
          <w:sz w:val="20"/>
          <w:szCs w:val="20"/>
          <w:color w:val="auto"/>
        </w:rPr>
      </w:pPr>
      <w:r>
        <w:rPr>
          <w:rFonts w:ascii="Calibri" w:cs="Calibri" w:eastAsia="Calibri" w:hAnsi="Calibri"/>
          <w:sz w:val="14"/>
          <w:szCs w:val="14"/>
          <w:b w:val="1"/>
          <w:bCs w:val="1"/>
          <w:u w:val="single" w:color="auto"/>
          <w:color w:val="auto"/>
        </w:rPr>
        <w:t>Key Outcomes from the End-of-Phase 1 Meetng with the FDA</w:t>
      </w:r>
    </w:p>
    <w:p>
      <w:pPr>
        <w:spacing w:after="0" w:line="92" w:lineRule="exact"/>
        <w:rPr>
          <w:sz w:val="20"/>
          <w:szCs w:val="20"/>
          <w:color w:val="auto"/>
        </w:rPr>
      </w:pPr>
    </w:p>
    <w:p>
      <w:pPr>
        <w:ind w:left="1080" w:hanging="310"/>
        <w:spacing w:after="0"/>
        <w:tabs>
          <w:tab w:leader="none" w:pos="1080" w:val="left"/>
        </w:tabs>
        <w:numPr>
          <w:ilvl w:val="0"/>
          <w:numId w:val="9"/>
        </w:numPr>
        <w:rPr>
          <w:rFonts w:ascii="Calibri" w:cs="Calibri" w:eastAsia="Calibri" w:hAnsi="Calibri"/>
          <w:sz w:val="14"/>
          <w:szCs w:val="14"/>
          <w:color w:val="auto"/>
        </w:rPr>
      </w:pPr>
      <w:r>
        <w:rPr>
          <w:rFonts w:ascii="Calibri" w:cs="Calibri" w:eastAsia="Calibri" w:hAnsi="Calibri"/>
          <w:sz w:val="14"/>
          <w:szCs w:val="14"/>
          <w:color w:val="auto"/>
        </w:rPr>
        <w:t>80 mg QD selected as the recommended dose for Phase 3 ENABLE-2 trial.</w:t>
      </w:r>
    </w:p>
    <w:p>
      <w:pPr>
        <w:spacing w:after="0" w:line="95" w:lineRule="exact"/>
        <w:rPr>
          <w:rFonts w:ascii="Calibri" w:cs="Calibri" w:eastAsia="Calibri" w:hAnsi="Calibri"/>
          <w:sz w:val="14"/>
          <w:szCs w:val="14"/>
          <w:color w:val="auto"/>
        </w:rPr>
      </w:pPr>
    </w:p>
    <w:p>
      <w:pPr>
        <w:ind w:left="1080" w:right="699" w:hanging="310"/>
        <w:spacing w:after="0" w:line="235" w:lineRule="auto"/>
        <w:tabs>
          <w:tab w:leader="none" w:pos="1080" w:val="left"/>
        </w:tabs>
        <w:numPr>
          <w:ilvl w:val="0"/>
          <w:numId w:val="9"/>
        </w:numPr>
        <w:rPr>
          <w:rFonts w:ascii="Calibri" w:cs="Calibri" w:eastAsia="Calibri" w:hAnsi="Calibri"/>
          <w:sz w:val="14"/>
          <w:szCs w:val="14"/>
          <w:color w:val="auto"/>
        </w:rPr>
      </w:pPr>
      <w:r>
        <w:rPr>
          <w:rFonts w:ascii="Calibri" w:cs="Calibri" w:eastAsia="Calibri" w:hAnsi="Calibri"/>
          <w:sz w:val="14"/>
          <w:szCs w:val="14"/>
          <w:color w:val="auto"/>
        </w:rPr>
        <w:t>ENABLE-2 is expected to enroll patents with CML previously treated with one or more TKIs, and to be randomized to receive either ELVN-001 or physician’s choice of an ATP-compettve TKI.</w:t>
      </w:r>
    </w:p>
    <w:p>
      <w:pPr>
        <w:spacing w:after="0" w:line="95" w:lineRule="exact"/>
        <w:rPr>
          <w:rFonts w:ascii="Calibri" w:cs="Calibri" w:eastAsia="Calibri" w:hAnsi="Calibri"/>
          <w:sz w:val="14"/>
          <w:szCs w:val="14"/>
          <w:color w:val="auto"/>
        </w:rPr>
      </w:pPr>
    </w:p>
    <w:p>
      <w:pPr>
        <w:ind w:left="1080" w:right="779" w:hanging="310"/>
        <w:spacing w:after="0" w:line="235" w:lineRule="auto"/>
        <w:tabs>
          <w:tab w:leader="none" w:pos="1080" w:val="left"/>
        </w:tabs>
        <w:numPr>
          <w:ilvl w:val="0"/>
          <w:numId w:val="9"/>
        </w:numPr>
        <w:rPr>
          <w:rFonts w:ascii="Calibri" w:cs="Calibri" w:eastAsia="Calibri" w:hAnsi="Calibri"/>
          <w:sz w:val="14"/>
          <w:szCs w:val="14"/>
          <w:color w:val="auto"/>
        </w:rPr>
      </w:pPr>
      <w:r>
        <w:rPr>
          <w:rFonts w:ascii="Calibri" w:cs="Calibri" w:eastAsia="Calibri" w:hAnsi="Calibri"/>
          <w:sz w:val="14"/>
          <w:szCs w:val="14"/>
          <w:color w:val="auto"/>
        </w:rPr>
        <w:t>Additonal details of the Phase 3 trial design are expected to be fnalized following further discussions with the FDA, including at a planned End-of-Phase 2 meetng antcipated in the third quarter of 2026.</w:t>
      </w:r>
    </w:p>
    <w:p>
      <w:pPr>
        <w:spacing w:after="0" w:line="250" w:lineRule="exact"/>
        <w:rPr>
          <w:sz w:val="20"/>
          <w:szCs w:val="20"/>
          <w:color w:val="auto"/>
        </w:rPr>
      </w:pPr>
    </w:p>
    <w:p>
      <w:pPr>
        <w:ind w:left="360"/>
        <w:spacing w:after="0"/>
        <w:rPr>
          <w:sz w:val="20"/>
          <w:szCs w:val="20"/>
          <w:color w:val="auto"/>
        </w:rPr>
      </w:pPr>
      <w:r>
        <w:rPr>
          <w:rFonts w:ascii="Calibri" w:cs="Calibri" w:eastAsia="Calibri" w:hAnsi="Calibri"/>
          <w:sz w:val="14"/>
          <w:szCs w:val="14"/>
          <w:b w:val="1"/>
          <w:bCs w:val="1"/>
          <w:color w:val="auto"/>
        </w:rPr>
        <w:t>Corporate Informaton</w:t>
      </w:r>
    </w:p>
    <w:p>
      <w:pPr>
        <w:spacing w:after="0" w:line="85" w:lineRule="exact"/>
        <w:rPr>
          <w:sz w:val="20"/>
          <w:szCs w:val="20"/>
          <w:color w:val="auto"/>
        </w:rPr>
      </w:pPr>
    </w:p>
    <w:p>
      <w:pPr>
        <w:ind w:left="360" w:right="459"/>
        <w:spacing w:after="0" w:line="235" w:lineRule="auto"/>
        <w:rPr>
          <w:sz w:val="20"/>
          <w:szCs w:val="20"/>
          <w:color w:val="auto"/>
        </w:rPr>
      </w:pPr>
      <w:r>
        <w:rPr>
          <w:rFonts w:ascii="Calibri" w:cs="Calibri" w:eastAsia="Calibri" w:hAnsi="Calibri"/>
          <w:sz w:val="14"/>
          <w:szCs w:val="14"/>
          <w:color w:val="auto"/>
        </w:rPr>
        <w:t>Enliven Inc. (formerly, Enliven Therapeutcs, Inc.) (“Former Enliven”) was incorporated in the State of Delaware in June 2019. On February 23, 2023, we completed our business combinaton with Former Enliven in accordance with the terms of the Agreement and Plan of Merger, dated October 13, 2022, by and among us, Former Enliven, and Iguana Merger Sub, Inc., a Delaware corporaton and our wholly owned subsidiary (“Merger Sub”), pursuant to which, among other maters, Merger Sub merged with and into Former Enliven, with Former Enliven contnuing as a wholly owned subsidiary of us and the surviving corporaton of the merger (the “Merger”). In connecton with the closing of the Merger, we efected a 1-for-4 reverse stock split and changed our name to Enliven Therapeutcs, Inc. Following the completon of the Merger, the business conducted by Former Enliven became the primary business conducted by us.</w:t>
      </w:r>
    </w:p>
    <w:p>
      <w:pPr>
        <w:spacing w:after="0" w:line="173" w:lineRule="exact"/>
        <w:rPr>
          <w:sz w:val="20"/>
          <w:szCs w:val="20"/>
          <w:color w:val="auto"/>
        </w:rPr>
      </w:pPr>
    </w:p>
    <w:p>
      <w:pPr>
        <w:ind w:left="360" w:right="439"/>
        <w:spacing w:after="0" w:line="235" w:lineRule="auto"/>
        <w:rPr>
          <w:sz w:val="20"/>
          <w:szCs w:val="20"/>
          <w:color w:val="auto"/>
        </w:rPr>
      </w:pPr>
      <w:r>
        <w:rPr>
          <w:rFonts w:ascii="Calibri" w:cs="Calibri" w:eastAsia="Calibri" w:hAnsi="Calibri"/>
          <w:sz w:val="14"/>
          <w:szCs w:val="14"/>
          <w:color w:val="auto"/>
        </w:rPr>
        <w:t>Our principal executve ofces are located at 205 Park Road, Burlingame, California 94010. Our telephone number is 650-547-5814. Our website address is www.enliventherapeutcs.com. Informaton contained on, or that can be accessed through, our website or any website is not incorporated by reference into this prospectus supplement and should not be considered to be part of this prospectus supplement unless expressly noted. You should not rely on any such informaton in deciding whether to purchase our securites.</w:t>
      </w:r>
    </w:p>
    <w:p>
      <w:pPr>
        <w:spacing w:after="0" w:line="171" w:lineRule="exact"/>
        <w:rPr>
          <w:sz w:val="20"/>
          <w:szCs w:val="20"/>
          <w:color w:val="auto"/>
        </w:rPr>
      </w:pPr>
    </w:p>
    <w:p>
      <w:pPr>
        <w:ind w:left="360" w:right="399"/>
        <w:spacing w:after="0" w:line="256" w:lineRule="auto"/>
        <w:rPr>
          <w:sz w:val="20"/>
          <w:szCs w:val="20"/>
          <w:color w:val="auto"/>
        </w:rPr>
      </w:pPr>
      <w:r>
        <w:rPr>
          <w:rFonts w:ascii="Calibri" w:cs="Calibri" w:eastAsia="Calibri" w:hAnsi="Calibri"/>
          <w:sz w:val="13"/>
          <w:szCs w:val="13"/>
          <w:color w:val="auto"/>
        </w:rPr>
        <w:t>We may announce material informaton to the public through flings with the SEC, our website (www.enliventherapeutcs.com), press releases, public conference calls, and public webcasts. We use these channels, as well as social media, to communicate with the public about us, our product candidates and other maters. We also make available on or through our website certain reports and amendments to those reports that we fle with or furnish to the SEC in accordance with the Exchange Act. These include our Annual Reports on Form 10-K, our Quarterly Reports on Form 10-Q, and our Current Reports on Form 8-K, and amendments to those reports fled or furnished pursuant to Secton 13(a) or 15(d) of the Exchange Act. We make this informaton available on or through our website free of charge as soon as reasonably practcable afer we electronically fle the informaton with, or furnish it to, the SEC. The SEC also maintains a website that contains our SEC flings. The address for the SEC website is www.sec.gov.</w:t>
      </w:r>
    </w:p>
    <w:p>
      <w:pPr>
        <w:spacing w:after="0" w:line="240" w:lineRule="exact"/>
        <w:rPr>
          <w:sz w:val="20"/>
          <w:szCs w:val="20"/>
          <w:color w:val="auto"/>
        </w:rPr>
      </w:pPr>
    </w:p>
    <w:p>
      <w:pPr>
        <w:jc w:val="center"/>
        <w:spacing w:after="0"/>
        <w:rPr>
          <w:sz w:val="20"/>
          <w:szCs w:val="20"/>
          <w:color w:val="auto"/>
        </w:rPr>
      </w:pPr>
      <w:r>
        <w:rPr>
          <w:rFonts w:ascii="Calibri" w:cs="Calibri" w:eastAsia="Calibri" w:hAnsi="Calibri"/>
          <w:sz w:val="14"/>
          <w:szCs w:val="14"/>
          <w:color w:val="auto"/>
        </w:rPr>
        <w:t>S-9</w:t>
      </w:r>
    </w:p>
    <w:p>
      <w:pPr>
        <w:sectPr>
          <w:pgSz w:w="11900" w:h="16838" w:orient="portrait"/>
          <w:cols w:equalWidth="0" w:num="1">
            <w:col w:w="9019"/>
          </w:cols>
          <w:pgMar w:left="1440" w:top="381" w:right="1440" w:bottom="1440" w:gutter="0" w:footer="0" w:header="0"/>
        </w:sectPr>
      </w:pPr>
    </w:p>
    <w:bookmarkStart w:id="11" w:name="page12"/>
    <w:bookmarkEnd w:id="11"/>
    <w:p>
      <w:pPr>
        <w:jc w:val="center"/>
        <w:spacing w:after="0"/>
        <w:rPr>
          <w:sz w:val="20"/>
          <w:szCs w:val="20"/>
          <w:color w:val="auto"/>
        </w:rPr>
      </w:pPr>
      <w:r>
        <w:rPr>
          <w:rFonts w:ascii="Calibri" w:cs="Calibri" w:eastAsia="Calibri" w:hAnsi="Calibri"/>
          <w:sz w:val="13"/>
          <w:szCs w:val="13"/>
          <w:b w:val="1"/>
          <w:bCs w:val="1"/>
          <w:color w:val="auto"/>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458470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01535" cy="4584700"/>
                    </a:xfrm>
                    <a:prstGeom prst="rect">
                      <a:avLst/>
                    </a:prstGeom>
                    <a:noFill/>
                  </pic:spPr>
                </pic:pic>
              </a:graphicData>
            </a:graphic>
          </wp:anchor>
        </w:drawing>
        <w:t>THE OFFERING</w:t>
      </w:r>
    </w:p>
    <w:p>
      <w:pPr>
        <w:sectPr>
          <w:pgSz w:w="11900" w:h="16838" w:orient="portrait"/>
          <w:cols w:equalWidth="0" w:num="1">
            <w:col w:w="9019"/>
          </w:cols>
          <w:pgMar w:left="1440" w:top="385" w:right="1440" w:bottom="1440" w:gutter="0" w:footer="0" w:header="0"/>
        </w:sectPr>
      </w:pPr>
    </w:p>
    <w:p>
      <w:pPr>
        <w:spacing w:after="0" w:line="195" w:lineRule="exact"/>
        <w:rPr>
          <w:sz w:val="20"/>
          <w:szCs w:val="20"/>
          <w:color w:val="auto"/>
        </w:rPr>
      </w:pPr>
    </w:p>
    <w:p>
      <w:pPr>
        <w:ind w:left="360"/>
        <w:spacing w:after="0"/>
        <w:rPr>
          <w:sz w:val="20"/>
          <w:szCs w:val="20"/>
          <w:color w:val="auto"/>
        </w:rPr>
      </w:pPr>
      <w:r>
        <w:rPr>
          <w:rFonts w:ascii="Calibri" w:cs="Calibri" w:eastAsia="Calibri" w:hAnsi="Calibri"/>
          <w:sz w:val="14"/>
          <w:szCs w:val="14"/>
          <w:b w:val="1"/>
          <w:bCs w:val="1"/>
          <w:color w:val="auto"/>
        </w:rPr>
        <w:t>Common stock ofered by us</w:t>
      </w:r>
    </w:p>
    <w:p>
      <w:pPr>
        <w:spacing w:after="0" w:line="20" w:lineRule="exact"/>
        <w:rPr>
          <w:sz w:val="20"/>
          <w:szCs w:val="20"/>
          <w:color w:val="auto"/>
        </w:rPr>
      </w:pPr>
      <w:r>
        <w:rPr>
          <w:sz w:val="20"/>
          <w:szCs w:val="20"/>
          <w:color w:val="auto"/>
        </w:rPr>
        <w:br w:type="column"/>
      </w:r>
    </w:p>
    <w:p>
      <w:pPr>
        <w:spacing w:after="0" w:line="178" w:lineRule="exact"/>
        <w:rPr>
          <w:sz w:val="20"/>
          <w:szCs w:val="20"/>
          <w:color w:val="auto"/>
        </w:rPr>
      </w:pPr>
    </w:p>
    <w:p>
      <w:pPr>
        <w:spacing w:after="0"/>
        <w:rPr>
          <w:sz w:val="20"/>
          <w:szCs w:val="20"/>
          <w:color w:val="auto"/>
        </w:rPr>
      </w:pPr>
      <w:r>
        <w:rPr>
          <w:rFonts w:ascii="Calibri" w:cs="Calibri" w:eastAsia="Calibri" w:hAnsi="Calibri"/>
          <w:sz w:val="13"/>
          <w:szCs w:val="13"/>
          <w:color w:val="auto"/>
        </w:rPr>
        <w:t>8,933,334 shares of common stock.</w:t>
      </w:r>
    </w:p>
    <w:p>
      <w:pPr>
        <w:spacing w:after="0" w:line="208" w:lineRule="exact"/>
        <w:rPr>
          <w:sz w:val="20"/>
          <w:szCs w:val="20"/>
          <w:color w:val="auto"/>
        </w:rPr>
      </w:pPr>
    </w:p>
    <w:p>
      <w:pPr>
        <w:sectPr>
          <w:pgSz w:w="11900" w:h="16838" w:orient="portrait"/>
          <w:cols w:equalWidth="0" w:num="2">
            <w:col w:w="2780" w:space="720"/>
            <w:col w:w="5519"/>
          </w:cols>
          <w:pgMar w:left="1440" w:top="385" w:right="1440" w:bottom="1440" w:gutter="0" w:footer="0" w:header="0"/>
          <w:type w:val="continuous"/>
        </w:sectPr>
      </w:pPr>
    </w:p>
    <w:p>
      <w:pPr>
        <w:spacing w:after="0" w:line="74" w:lineRule="exact"/>
        <w:rPr>
          <w:sz w:val="20"/>
          <w:szCs w:val="20"/>
          <w:color w:val="auto"/>
        </w:rPr>
      </w:pPr>
    </w:p>
    <w:p>
      <w:pPr>
        <w:ind w:left="360"/>
        <w:spacing w:after="0"/>
        <w:rPr>
          <w:sz w:val="20"/>
          <w:szCs w:val="20"/>
          <w:color w:val="auto"/>
        </w:rPr>
      </w:pPr>
      <w:r>
        <w:rPr>
          <w:rFonts w:ascii="Calibri" w:cs="Calibri" w:eastAsia="Calibri" w:hAnsi="Calibri"/>
          <w:sz w:val="13"/>
          <w:szCs w:val="13"/>
          <w:b w:val="1"/>
          <w:bCs w:val="1"/>
          <w:color w:val="auto"/>
        </w:rPr>
        <w:t>Pre-funded warrants ofered by us</w:t>
      </w:r>
    </w:p>
    <w:p>
      <w:pPr>
        <w:spacing w:after="0" w:line="20" w:lineRule="exact"/>
        <w:rPr>
          <w:sz w:val="20"/>
          <w:szCs w:val="20"/>
          <w:color w:val="auto"/>
        </w:rPr>
      </w:pPr>
      <w:r>
        <w:rPr>
          <w:sz w:val="20"/>
          <w:szCs w:val="20"/>
          <w:color w:val="auto"/>
        </w:rPr>
        <w:br w:type="column"/>
      </w:r>
    </w:p>
    <w:p>
      <w:pPr>
        <w:spacing w:after="0" w:line="54" w:lineRule="exact"/>
        <w:rPr>
          <w:sz w:val="20"/>
          <w:szCs w:val="20"/>
          <w:color w:val="auto"/>
        </w:rPr>
      </w:pPr>
    </w:p>
    <w:p>
      <w:pPr>
        <w:ind w:right="419"/>
        <w:spacing w:after="0" w:line="235" w:lineRule="auto"/>
        <w:rPr>
          <w:sz w:val="20"/>
          <w:szCs w:val="20"/>
          <w:color w:val="auto"/>
        </w:rPr>
      </w:pPr>
      <w:r>
        <w:rPr>
          <w:rFonts w:ascii="Calibri" w:cs="Calibri" w:eastAsia="Calibri" w:hAnsi="Calibri"/>
          <w:sz w:val="14"/>
          <w:szCs w:val="14"/>
          <w:color w:val="auto"/>
        </w:rPr>
        <w:t>We are also ofering, in lieu of common stock, to investors who so choose, pre-funded warrants to purchase up to 1,733,333 shares of common stock. The purchase price of each pre-funded warrant will equal the price per share at which shares of common stock are being sold to the public in this ofering, minus $0.001, which will be the exercise price of each pre-funded warrant. Each pre-funded warrant will be exercisable for one share of common stock. The pre-funded warrants do not expire, and each pre-funded warrant will be exercisable at any tme afer the date of issuance, subject to an ownership limitaton. This prospectus supplement also relates to the ofering of the shares of common stock issuable upon the exercise of such pre-funded warrants. See the secton ttled “Descripton of Pre-Funded Warrants” on page S-15 for more informaton.</w:t>
      </w:r>
    </w:p>
    <w:p>
      <w:pPr>
        <w:spacing w:after="0" w:line="102" w:lineRule="exact"/>
        <w:rPr>
          <w:sz w:val="20"/>
          <w:szCs w:val="20"/>
          <w:color w:val="auto"/>
        </w:rPr>
      </w:pPr>
    </w:p>
    <w:p>
      <w:pPr>
        <w:sectPr>
          <w:pgSz w:w="11900" w:h="16838" w:orient="portrait"/>
          <w:cols w:equalWidth="0" w:num="2">
            <w:col w:w="2780" w:space="720"/>
            <w:col w:w="5519"/>
          </w:cols>
          <w:pgMar w:left="1440" w:top="385" w:right="1440" w:bottom="1440" w:gutter="0" w:footer="0" w:header="0"/>
          <w:type w:val="continuous"/>
        </w:sectPr>
      </w:pPr>
    </w:p>
    <w:p>
      <w:pPr>
        <w:jc w:val="right"/>
        <w:ind w:left="360" w:right="599"/>
        <w:spacing w:after="0" w:line="235" w:lineRule="auto"/>
        <w:rPr>
          <w:sz w:val="20"/>
          <w:szCs w:val="20"/>
          <w:color w:val="auto"/>
        </w:rPr>
      </w:pPr>
      <w:r>
        <w:rPr>
          <w:rFonts w:ascii="Calibri" w:cs="Calibri" w:eastAsia="Calibri" w:hAnsi="Calibri"/>
          <w:sz w:val="14"/>
          <w:szCs w:val="14"/>
          <w:b w:val="1"/>
          <w:bCs w:val="1"/>
          <w:color w:val="auto"/>
        </w:rPr>
        <w:t xml:space="preserve">Opton to purchase additonal shares of common stock </w:t>
      </w:r>
      <w:r>
        <w:rPr>
          <w:rFonts w:ascii="Calibri" w:cs="Calibri" w:eastAsia="Calibri" w:hAnsi="Calibri"/>
          <w:sz w:val="14"/>
          <w:szCs w:val="14"/>
          <w:color w:val="auto"/>
        </w:rPr>
        <w:t>We have granted the underwriters an opton for a period of 30 days from the date of this</w:t>
      </w:r>
      <w:r>
        <w:rPr>
          <w:rFonts w:ascii="Calibri" w:cs="Calibri" w:eastAsia="Calibri" w:hAnsi="Calibri"/>
          <w:sz w:val="14"/>
          <w:szCs w:val="14"/>
          <w:b w:val="1"/>
          <w:bCs w:val="1"/>
          <w:color w:val="auto"/>
        </w:rPr>
        <w:t xml:space="preserve"> </w:t>
      </w:r>
      <w:r>
        <w:rPr>
          <w:rFonts w:ascii="Calibri" w:cs="Calibri" w:eastAsia="Calibri" w:hAnsi="Calibri"/>
          <w:sz w:val="14"/>
          <w:szCs w:val="14"/>
          <w:color w:val="auto"/>
        </w:rPr>
        <w:t>prospectus supplement to purchase up to an additonal 1,600,000 shares of our common</w:t>
      </w:r>
    </w:p>
    <w:tbl>
      <w:tblPr>
        <w:tblLayout w:type="fixed"/>
        <w:tblInd w:w="220" w:type="dxa"/>
        <w:tblCellMar>
          <w:top w:w="0" w:type="dxa"/>
          <w:left w:w="0" w:type="dxa"/>
          <w:bottom w:w="0" w:type="dxa"/>
          <w:right w:w="0" w:type="dxa"/>
        </w:tblCellMar>
      </w:tblPr>
      <w:tr>
        <w:trPr>
          <w:trHeight w:val="168"/>
        </w:trPr>
        <w:tc>
          <w:tcPr>
            <w:tcW w:w="3160" w:type="dxa"/>
            <w:vAlign w:val="bottom"/>
          </w:tcPr>
          <w:p>
            <w:pPr>
              <w:spacing w:after="0"/>
              <w:rPr>
                <w:sz w:val="14"/>
                <w:szCs w:val="14"/>
                <w:color w:val="auto"/>
              </w:rPr>
            </w:pPr>
          </w:p>
        </w:tc>
        <w:tc>
          <w:tcPr>
            <w:tcW w:w="5420" w:type="dxa"/>
            <w:vAlign w:val="bottom"/>
          </w:tcPr>
          <w:p>
            <w:pPr>
              <w:ind w:left="120"/>
              <w:spacing w:after="0" w:line="169" w:lineRule="exact"/>
              <w:rPr>
                <w:sz w:val="20"/>
                <w:szCs w:val="20"/>
                <w:color w:val="auto"/>
              </w:rPr>
            </w:pPr>
            <w:r>
              <w:rPr>
                <w:rFonts w:ascii="Calibri" w:cs="Calibri" w:eastAsia="Calibri" w:hAnsi="Calibri"/>
                <w:sz w:val="14"/>
                <w:szCs w:val="14"/>
                <w:color w:val="auto"/>
              </w:rPr>
              <w:t>stock.</w:t>
            </w:r>
          </w:p>
        </w:tc>
      </w:tr>
      <w:tr>
        <w:trPr>
          <w:trHeight w:val="263"/>
        </w:trPr>
        <w:tc>
          <w:tcPr>
            <w:tcW w:w="3160" w:type="dxa"/>
            <w:vAlign w:val="bottom"/>
          </w:tcPr>
          <w:p>
            <w:pPr>
              <w:ind w:left="140"/>
              <w:spacing w:after="0"/>
              <w:rPr>
                <w:sz w:val="20"/>
                <w:szCs w:val="20"/>
                <w:color w:val="auto"/>
              </w:rPr>
            </w:pPr>
            <w:r>
              <w:rPr>
                <w:rFonts w:ascii="Calibri" w:cs="Calibri" w:eastAsia="Calibri" w:hAnsi="Calibri"/>
                <w:sz w:val="14"/>
                <w:szCs w:val="14"/>
                <w:b w:val="1"/>
                <w:bCs w:val="1"/>
                <w:color w:val="auto"/>
              </w:rPr>
              <w:t>Common stock to be outstanding immediately afer</w:t>
            </w:r>
          </w:p>
        </w:tc>
        <w:tc>
          <w:tcPr>
            <w:tcW w:w="5420" w:type="dxa"/>
            <w:vAlign w:val="bottom"/>
          </w:tcPr>
          <w:p>
            <w:pPr>
              <w:ind w:left="120"/>
              <w:spacing w:after="0"/>
              <w:rPr>
                <w:sz w:val="20"/>
                <w:szCs w:val="20"/>
                <w:color w:val="auto"/>
              </w:rPr>
            </w:pPr>
            <w:r>
              <w:rPr>
                <w:rFonts w:ascii="Calibri" w:cs="Calibri" w:eastAsia="Calibri" w:hAnsi="Calibri"/>
                <w:sz w:val="14"/>
                <w:szCs w:val="14"/>
                <w:color w:val="auto"/>
              </w:rPr>
              <w:t>69,822,989 shares, or 71,422,989 shares if the underwriters exercise in full their opton to</w:t>
            </w:r>
          </w:p>
        </w:tc>
      </w:tr>
      <w:tr>
        <w:trPr>
          <w:trHeight w:val="168"/>
        </w:trPr>
        <w:tc>
          <w:tcPr>
            <w:tcW w:w="3160" w:type="dxa"/>
            <w:vAlign w:val="bottom"/>
          </w:tcPr>
          <w:p>
            <w:pPr>
              <w:ind w:left="200"/>
              <w:spacing w:after="0" w:line="168" w:lineRule="exact"/>
              <w:rPr>
                <w:sz w:val="20"/>
                <w:szCs w:val="20"/>
                <w:color w:val="auto"/>
              </w:rPr>
            </w:pPr>
            <w:r>
              <w:rPr>
                <w:rFonts w:ascii="Calibri" w:cs="Calibri" w:eastAsia="Calibri" w:hAnsi="Calibri"/>
                <w:sz w:val="14"/>
                <w:szCs w:val="14"/>
                <w:b w:val="1"/>
                <w:bCs w:val="1"/>
                <w:color w:val="auto"/>
              </w:rPr>
              <w:t>this ofering</w:t>
            </w:r>
          </w:p>
        </w:tc>
        <w:tc>
          <w:tcPr>
            <w:tcW w:w="5420" w:type="dxa"/>
            <w:vAlign w:val="bottom"/>
          </w:tcPr>
          <w:p>
            <w:pPr>
              <w:ind w:left="120"/>
              <w:spacing w:after="0" w:line="168" w:lineRule="exact"/>
              <w:rPr>
                <w:sz w:val="20"/>
                <w:szCs w:val="20"/>
                <w:color w:val="auto"/>
              </w:rPr>
            </w:pPr>
            <w:r>
              <w:rPr>
                <w:rFonts w:ascii="Calibri" w:cs="Calibri" w:eastAsia="Calibri" w:hAnsi="Calibri"/>
                <w:sz w:val="14"/>
                <w:szCs w:val="14"/>
                <w:color w:val="auto"/>
              </w:rPr>
              <w:t>purchase additonal shares, in each case assuming no exercise of any pre-funded warrants</w:t>
            </w:r>
          </w:p>
        </w:tc>
      </w:tr>
      <w:tr>
        <w:trPr>
          <w:trHeight w:val="168"/>
        </w:trPr>
        <w:tc>
          <w:tcPr>
            <w:tcW w:w="3160" w:type="dxa"/>
            <w:vAlign w:val="bottom"/>
          </w:tcPr>
          <w:p>
            <w:pPr>
              <w:spacing w:after="0"/>
              <w:rPr>
                <w:sz w:val="14"/>
                <w:szCs w:val="14"/>
                <w:color w:val="auto"/>
              </w:rPr>
            </w:pPr>
          </w:p>
        </w:tc>
        <w:tc>
          <w:tcPr>
            <w:tcW w:w="5420" w:type="dxa"/>
            <w:vAlign w:val="bottom"/>
          </w:tcPr>
          <w:p>
            <w:pPr>
              <w:ind w:left="120"/>
              <w:spacing w:after="0" w:line="168" w:lineRule="exact"/>
              <w:rPr>
                <w:sz w:val="20"/>
                <w:szCs w:val="20"/>
                <w:color w:val="auto"/>
              </w:rPr>
            </w:pPr>
            <w:r>
              <w:rPr>
                <w:rFonts w:ascii="Calibri" w:cs="Calibri" w:eastAsia="Calibri" w:hAnsi="Calibri"/>
                <w:sz w:val="14"/>
                <w:szCs w:val="14"/>
                <w:color w:val="auto"/>
              </w:rPr>
              <w:t>ofered and sold by us.</w:t>
            </w:r>
          </w:p>
        </w:tc>
      </w:tr>
      <w:tr>
        <w:trPr>
          <w:trHeight w:val="263"/>
        </w:trPr>
        <w:tc>
          <w:tcPr>
            <w:tcW w:w="3160" w:type="dxa"/>
            <w:vAlign w:val="bottom"/>
          </w:tcPr>
          <w:p>
            <w:pPr>
              <w:ind w:left="140"/>
              <w:spacing w:after="0"/>
              <w:rPr>
                <w:sz w:val="20"/>
                <w:szCs w:val="20"/>
                <w:color w:val="auto"/>
              </w:rPr>
            </w:pPr>
            <w:r>
              <w:rPr>
                <w:rFonts w:ascii="Calibri" w:cs="Calibri" w:eastAsia="Calibri" w:hAnsi="Calibri"/>
                <w:sz w:val="14"/>
                <w:szCs w:val="14"/>
                <w:b w:val="1"/>
                <w:bCs w:val="1"/>
                <w:color w:val="auto"/>
              </w:rPr>
              <w:t>Use of proceeds</w:t>
            </w:r>
          </w:p>
        </w:tc>
        <w:tc>
          <w:tcPr>
            <w:tcW w:w="5420" w:type="dxa"/>
            <w:vAlign w:val="bottom"/>
          </w:tcPr>
          <w:p>
            <w:pPr>
              <w:ind w:left="120"/>
              <w:spacing w:after="0"/>
              <w:rPr>
                <w:sz w:val="20"/>
                <w:szCs w:val="20"/>
                <w:color w:val="auto"/>
              </w:rPr>
            </w:pPr>
            <w:r>
              <w:rPr>
                <w:rFonts w:ascii="Calibri" w:cs="Calibri" w:eastAsia="Calibri" w:hAnsi="Calibri"/>
                <w:sz w:val="14"/>
                <w:szCs w:val="14"/>
                <w:color w:val="auto"/>
              </w:rPr>
              <w:t>We estmate that the net proceeds to us from this ofering will be approximately</w:t>
            </w:r>
          </w:p>
        </w:tc>
      </w:tr>
      <w:tr>
        <w:trPr>
          <w:trHeight w:val="168"/>
        </w:trPr>
        <w:tc>
          <w:tcPr>
            <w:tcW w:w="3160" w:type="dxa"/>
            <w:vAlign w:val="bottom"/>
          </w:tcPr>
          <w:p>
            <w:pPr>
              <w:spacing w:after="0"/>
              <w:rPr>
                <w:sz w:val="14"/>
                <w:szCs w:val="14"/>
                <w:color w:val="auto"/>
              </w:rPr>
            </w:pPr>
          </w:p>
        </w:tc>
        <w:tc>
          <w:tcPr>
            <w:tcW w:w="5420" w:type="dxa"/>
            <w:vAlign w:val="bottom"/>
          </w:tcPr>
          <w:p>
            <w:pPr>
              <w:ind w:left="120"/>
              <w:spacing w:after="0" w:line="168" w:lineRule="exact"/>
              <w:rPr>
                <w:sz w:val="20"/>
                <w:szCs w:val="20"/>
                <w:color w:val="auto"/>
              </w:rPr>
            </w:pPr>
            <w:r>
              <w:rPr>
                <w:rFonts w:ascii="Calibri" w:cs="Calibri" w:eastAsia="Calibri" w:hAnsi="Calibri"/>
                <w:sz w:val="14"/>
                <w:szCs w:val="14"/>
                <w:color w:val="auto"/>
              </w:rPr>
              <w:t>$376.0 million, or approximately $432.4 million if the underwriters exercise their opton to</w:t>
            </w:r>
          </w:p>
        </w:tc>
      </w:tr>
      <w:tr>
        <w:trPr>
          <w:trHeight w:val="168"/>
        </w:trPr>
        <w:tc>
          <w:tcPr>
            <w:tcW w:w="3160" w:type="dxa"/>
            <w:vAlign w:val="bottom"/>
          </w:tcPr>
          <w:p>
            <w:pPr>
              <w:spacing w:after="0"/>
              <w:rPr>
                <w:sz w:val="14"/>
                <w:szCs w:val="14"/>
                <w:color w:val="auto"/>
              </w:rPr>
            </w:pPr>
          </w:p>
        </w:tc>
        <w:tc>
          <w:tcPr>
            <w:tcW w:w="5420" w:type="dxa"/>
            <w:vAlign w:val="bottom"/>
          </w:tcPr>
          <w:p>
            <w:pPr>
              <w:ind w:left="120"/>
              <w:spacing w:after="0" w:line="168" w:lineRule="exact"/>
              <w:rPr>
                <w:sz w:val="20"/>
                <w:szCs w:val="20"/>
                <w:color w:val="auto"/>
              </w:rPr>
            </w:pPr>
            <w:r>
              <w:rPr>
                <w:rFonts w:ascii="Calibri" w:cs="Calibri" w:eastAsia="Calibri" w:hAnsi="Calibri"/>
                <w:sz w:val="14"/>
                <w:szCs w:val="14"/>
                <w:color w:val="auto"/>
              </w:rPr>
              <w:t>purchase additonal shares in full, afer deductng the underwritng discounts and</w:t>
            </w:r>
          </w:p>
        </w:tc>
      </w:tr>
      <w:tr>
        <w:trPr>
          <w:trHeight w:val="168"/>
        </w:trPr>
        <w:tc>
          <w:tcPr>
            <w:tcW w:w="3160" w:type="dxa"/>
            <w:vAlign w:val="bottom"/>
          </w:tcPr>
          <w:p>
            <w:pPr>
              <w:spacing w:after="0"/>
              <w:rPr>
                <w:sz w:val="14"/>
                <w:szCs w:val="14"/>
                <w:color w:val="auto"/>
              </w:rPr>
            </w:pPr>
          </w:p>
        </w:tc>
        <w:tc>
          <w:tcPr>
            <w:tcW w:w="5420" w:type="dxa"/>
            <w:vAlign w:val="bottom"/>
          </w:tcPr>
          <w:p>
            <w:pPr>
              <w:ind w:left="120"/>
              <w:spacing w:after="0" w:line="168" w:lineRule="exact"/>
              <w:rPr>
                <w:sz w:val="20"/>
                <w:szCs w:val="20"/>
                <w:color w:val="auto"/>
              </w:rPr>
            </w:pPr>
            <w:r>
              <w:rPr>
                <w:rFonts w:ascii="Calibri" w:cs="Calibri" w:eastAsia="Calibri" w:hAnsi="Calibri"/>
                <w:sz w:val="14"/>
                <w:szCs w:val="14"/>
                <w:color w:val="auto"/>
              </w:rPr>
              <w:t>commissions and estmated ofering expenses payable by us. We will receive nominal</w:t>
            </w:r>
          </w:p>
        </w:tc>
      </w:tr>
      <w:tr>
        <w:trPr>
          <w:trHeight w:val="168"/>
        </w:trPr>
        <w:tc>
          <w:tcPr>
            <w:tcW w:w="3160" w:type="dxa"/>
            <w:vAlign w:val="bottom"/>
          </w:tcPr>
          <w:p>
            <w:pPr>
              <w:spacing w:after="0"/>
              <w:rPr>
                <w:sz w:val="14"/>
                <w:szCs w:val="14"/>
                <w:color w:val="auto"/>
              </w:rPr>
            </w:pPr>
          </w:p>
        </w:tc>
        <w:tc>
          <w:tcPr>
            <w:tcW w:w="5420" w:type="dxa"/>
            <w:vAlign w:val="bottom"/>
          </w:tcPr>
          <w:p>
            <w:pPr>
              <w:ind w:left="120"/>
              <w:spacing w:after="0" w:line="168" w:lineRule="exact"/>
              <w:rPr>
                <w:sz w:val="20"/>
                <w:szCs w:val="20"/>
                <w:color w:val="auto"/>
              </w:rPr>
            </w:pPr>
            <w:r>
              <w:rPr>
                <w:rFonts w:ascii="Calibri" w:cs="Calibri" w:eastAsia="Calibri" w:hAnsi="Calibri"/>
                <w:sz w:val="14"/>
                <w:szCs w:val="14"/>
                <w:color w:val="auto"/>
              </w:rPr>
              <w:t>proceeds, if any, from any exercise of pre-funded warrants.</w:t>
            </w:r>
          </w:p>
        </w:tc>
      </w:tr>
      <w:tr>
        <w:trPr>
          <w:trHeight w:val="263"/>
        </w:trPr>
        <w:tc>
          <w:tcPr>
            <w:tcW w:w="3160" w:type="dxa"/>
            <w:vAlign w:val="bottom"/>
          </w:tcPr>
          <w:p>
            <w:pPr>
              <w:spacing w:after="0"/>
              <w:rPr>
                <w:sz w:val="22"/>
                <w:szCs w:val="22"/>
                <w:color w:val="auto"/>
              </w:rPr>
            </w:pPr>
          </w:p>
        </w:tc>
        <w:tc>
          <w:tcPr>
            <w:tcW w:w="5420" w:type="dxa"/>
            <w:vAlign w:val="bottom"/>
          </w:tcPr>
          <w:p>
            <w:pPr>
              <w:ind w:left="120"/>
              <w:spacing w:after="0"/>
              <w:rPr>
                <w:sz w:val="20"/>
                <w:szCs w:val="20"/>
                <w:color w:val="auto"/>
              </w:rPr>
            </w:pPr>
            <w:r>
              <w:rPr>
                <w:rFonts w:ascii="Calibri" w:cs="Calibri" w:eastAsia="Calibri" w:hAnsi="Calibri"/>
                <w:sz w:val="14"/>
                <w:szCs w:val="14"/>
                <w:color w:val="auto"/>
              </w:rPr>
              <w:t>We currently intend to use the net proceeds from this ofering, if any, together with our</w:t>
            </w:r>
          </w:p>
        </w:tc>
      </w:tr>
      <w:tr>
        <w:trPr>
          <w:trHeight w:val="168"/>
        </w:trPr>
        <w:tc>
          <w:tcPr>
            <w:tcW w:w="3160" w:type="dxa"/>
            <w:vAlign w:val="bottom"/>
          </w:tcPr>
          <w:p>
            <w:pPr>
              <w:spacing w:after="0"/>
              <w:rPr>
                <w:sz w:val="14"/>
                <w:szCs w:val="14"/>
                <w:color w:val="auto"/>
              </w:rPr>
            </w:pPr>
          </w:p>
        </w:tc>
        <w:tc>
          <w:tcPr>
            <w:tcW w:w="5420" w:type="dxa"/>
            <w:vAlign w:val="bottom"/>
          </w:tcPr>
          <w:p>
            <w:pPr>
              <w:ind w:left="120"/>
              <w:spacing w:after="0" w:line="168" w:lineRule="exact"/>
              <w:rPr>
                <w:sz w:val="20"/>
                <w:szCs w:val="20"/>
                <w:color w:val="auto"/>
              </w:rPr>
            </w:pPr>
            <w:r>
              <w:rPr>
                <w:rFonts w:ascii="Calibri" w:cs="Calibri" w:eastAsia="Calibri" w:hAnsi="Calibri"/>
                <w:sz w:val="14"/>
                <w:szCs w:val="14"/>
                <w:color w:val="auto"/>
              </w:rPr>
              <w:t>existng cash, cash equivalents and marketable securites, to fund ongoing research and</w:t>
            </w:r>
          </w:p>
        </w:tc>
      </w:tr>
      <w:tr>
        <w:trPr>
          <w:trHeight w:val="168"/>
        </w:trPr>
        <w:tc>
          <w:tcPr>
            <w:tcW w:w="3160" w:type="dxa"/>
            <w:vAlign w:val="bottom"/>
          </w:tcPr>
          <w:p>
            <w:pPr>
              <w:spacing w:after="0"/>
              <w:rPr>
                <w:sz w:val="14"/>
                <w:szCs w:val="14"/>
                <w:color w:val="auto"/>
              </w:rPr>
            </w:pPr>
          </w:p>
        </w:tc>
        <w:tc>
          <w:tcPr>
            <w:tcW w:w="5420" w:type="dxa"/>
            <w:vAlign w:val="bottom"/>
          </w:tcPr>
          <w:p>
            <w:pPr>
              <w:ind w:left="120"/>
              <w:spacing w:after="0" w:line="168" w:lineRule="exact"/>
              <w:rPr>
                <w:sz w:val="20"/>
                <w:szCs w:val="20"/>
                <w:color w:val="auto"/>
              </w:rPr>
            </w:pPr>
            <w:r>
              <w:rPr>
                <w:rFonts w:ascii="Calibri" w:cs="Calibri" w:eastAsia="Calibri" w:hAnsi="Calibri"/>
                <w:sz w:val="14"/>
                <w:szCs w:val="14"/>
                <w:color w:val="auto"/>
              </w:rPr>
              <w:t>development actvites, including the advancement of ELVN-001 in ongoing and planned</w:t>
            </w:r>
          </w:p>
        </w:tc>
      </w:tr>
      <w:tr>
        <w:trPr>
          <w:trHeight w:val="168"/>
        </w:trPr>
        <w:tc>
          <w:tcPr>
            <w:tcW w:w="3160" w:type="dxa"/>
            <w:vAlign w:val="bottom"/>
          </w:tcPr>
          <w:p>
            <w:pPr>
              <w:spacing w:after="0"/>
              <w:rPr>
                <w:sz w:val="14"/>
                <w:szCs w:val="14"/>
                <w:color w:val="auto"/>
              </w:rPr>
            </w:pPr>
          </w:p>
        </w:tc>
        <w:tc>
          <w:tcPr>
            <w:tcW w:w="5420" w:type="dxa"/>
            <w:vAlign w:val="bottom"/>
          </w:tcPr>
          <w:p>
            <w:pPr>
              <w:ind w:left="120"/>
              <w:spacing w:after="0" w:line="168" w:lineRule="exact"/>
              <w:rPr>
                <w:sz w:val="20"/>
                <w:szCs w:val="20"/>
                <w:color w:val="auto"/>
              </w:rPr>
            </w:pPr>
            <w:r>
              <w:rPr>
                <w:rFonts w:ascii="Calibri" w:cs="Calibri" w:eastAsia="Calibri" w:hAnsi="Calibri"/>
                <w:sz w:val="14"/>
                <w:szCs w:val="14"/>
                <w:color w:val="auto"/>
              </w:rPr>
              <w:t>clinical trials across multple lines of therapy, and inital commercial readiness actvites, and</w:t>
            </w:r>
          </w:p>
        </w:tc>
      </w:tr>
      <w:tr>
        <w:trPr>
          <w:trHeight w:val="168"/>
        </w:trPr>
        <w:tc>
          <w:tcPr>
            <w:tcW w:w="3160" w:type="dxa"/>
            <w:vAlign w:val="bottom"/>
          </w:tcPr>
          <w:p>
            <w:pPr>
              <w:spacing w:after="0"/>
              <w:rPr>
                <w:sz w:val="14"/>
                <w:szCs w:val="14"/>
                <w:color w:val="auto"/>
              </w:rPr>
            </w:pPr>
          </w:p>
        </w:tc>
        <w:tc>
          <w:tcPr>
            <w:tcW w:w="5420" w:type="dxa"/>
            <w:vAlign w:val="bottom"/>
          </w:tcPr>
          <w:p>
            <w:pPr>
              <w:ind w:left="120"/>
              <w:spacing w:after="0" w:line="168" w:lineRule="exact"/>
              <w:rPr>
                <w:sz w:val="20"/>
                <w:szCs w:val="20"/>
                <w:color w:val="auto"/>
              </w:rPr>
            </w:pPr>
            <w:r>
              <w:rPr>
                <w:rFonts w:ascii="Calibri" w:cs="Calibri" w:eastAsia="Calibri" w:hAnsi="Calibri"/>
                <w:sz w:val="14"/>
                <w:szCs w:val="14"/>
                <w:color w:val="auto"/>
              </w:rPr>
              <w:t>for working capital and other general corporate purposes. See the secton ttled “Use of</w:t>
            </w:r>
          </w:p>
        </w:tc>
      </w:tr>
      <w:tr>
        <w:trPr>
          <w:trHeight w:val="168"/>
        </w:trPr>
        <w:tc>
          <w:tcPr>
            <w:tcW w:w="3160" w:type="dxa"/>
            <w:vAlign w:val="bottom"/>
          </w:tcPr>
          <w:p>
            <w:pPr>
              <w:spacing w:after="0"/>
              <w:rPr>
                <w:sz w:val="14"/>
                <w:szCs w:val="14"/>
                <w:color w:val="auto"/>
              </w:rPr>
            </w:pPr>
          </w:p>
        </w:tc>
        <w:tc>
          <w:tcPr>
            <w:tcW w:w="5420" w:type="dxa"/>
            <w:vAlign w:val="bottom"/>
          </w:tcPr>
          <w:p>
            <w:pPr>
              <w:ind w:left="120"/>
              <w:spacing w:after="0" w:line="168" w:lineRule="exact"/>
              <w:rPr>
                <w:sz w:val="20"/>
                <w:szCs w:val="20"/>
                <w:color w:val="auto"/>
              </w:rPr>
            </w:pPr>
            <w:r>
              <w:rPr>
                <w:rFonts w:ascii="Calibri" w:cs="Calibri" w:eastAsia="Calibri" w:hAnsi="Calibri"/>
                <w:sz w:val="14"/>
                <w:szCs w:val="14"/>
                <w:color w:val="auto"/>
              </w:rPr>
              <w:t>Proceeds” on page S-17 for more informaton.</w:t>
            </w:r>
          </w:p>
        </w:tc>
      </w:tr>
      <w:tr>
        <w:trPr>
          <w:trHeight w:val="263"/>
        </w:trPr>
        <w:tc>
          <w:tcPr>
            <w:tcW w:w="3160" w:type="dxa"/>
            <w:vAlign w:val="bottom"/>
          </w:tcPr>
          <w:p>
            <w:pPr>
              <w:ind w:left="140"/>
              <w:spacing w:after="0"/>
              <w:rPr>
                <w:sz w:val="20"/>
                <w:szCs w:val="20"/>
                <w:color w:val="auto"/>
              </w:rPr>
            </w:pPr>
            <w:r>
              <w:rPr>
                <w:rFonts w:ascii="Calibri" w:cs="Calibri" w:eastAsia="Calibri" w:hAnsi="Calibri"/>
                <w:sz w:val="14"/>
                <w:szCs w:val="14"/>
                <w:b w:val="1"/>
                <w:bCs w:val="1"/>
                <w:color w:val="auto"/>
              </w:rPr>
              <w:t>Risk factors</w:t>
            </w:r>
          </w:p>
        </w:tc>
        <w:tc>
          <w:tcPr>
            <w:tcW w:w="5420" w:type="dxa"/>
            <w:vAlign w:val="bottom"/>
          </w:tcPr>
          <w:p>
            <w:pPr>
              <w:ind w:left="120"/>
              <w:spacing w:after="0"/>
              <w:rPr>
                <w:sz w:val="20"/>
                <w:szCs w:val="20"/>
                <w:color w:val="auto"/>
              </w:rPr>
            </w:pPr>
            <w:r>
              <w:rPr>
                <w:rFonts w:ascii="Calibri" w:cs="Calibri" w:eastAsia="Calibri" w:hAnsi="Calibri"/>
                <w:sz w:val="14"/>
                <w:szCs w:val="14"/>
                <w:color w:val="auto"/>
              </w:rPr>
              <w:t>You should read the “Risk Factors” secton of this prospectus supplement beginning on</w:t>
            </w:r>
          </w:p>
        </w:tc>
      </w:tr>
      <w:tr>
        <w:trPr>
          <w:trHeight w:val="168"/>
        </w:trPr>
        <w:tc>
          <w:tcPr>
            <w:tcW w:w="3160" w:type="dxa"/>
            <w:vAlign w:val="bottom"/>
          </w:tcPr>
          <w:p>
            <w:pPr>
              <w:spacing w:after="0"/>
              <w:rPr>
                <w:sz w:val="14"/>
                <w:szCs w:val="14"/>
                <w:color w:val="auto"/>
              </w:rPr>
            </w:pPr>
          </w:p>
        </w:tc>
        <w:tc>
          <w:tcPr>
            <w:tcW w:w="5420" w:type="dxa"/>
            <w:vAlign w:val="bottom"/>
          </w:tcPr>
          <w:p>
            <w:pPr>
              <w:ind w:left="120"/>
              <w:spacing w:after="0" w:line="168" w:lineRule="exact"/>
              <w:rPr>
                <w:sz w:val="20"/>
                <w:szCs w:val="20"/>
                <w:color w:val="auto"/>
              </w:rPr>
            </w:pPr>
            <w:r>
              <w:rPr>
                <w:rFonts w:ascii="Calibri" w:cs="Calibri" w:eastAsia="Calibri" w:hAnsi="Calibri"/>
                <w:sz w:val="14"/>
                <w:szCs w:val="14"/>
                <w:color w:val="auto"/>
              </w:rPr>
              <w:t>page S-12 and the “Risk Factors” sectons contained in the accompanying prospectus and in</w:t>
            </w:r>
          </w:p>
        </w:tc>
      </w:tr>
      <w:tr>
        <w:trPr>
          <w:trHeight w:val="168"/>
        </w:trPr>
        <w:tc>
          <w:tcPr>
            <w:tcW w:w="3160" w:type="dxa"/>
            <w:vAlign w:val="bottom"/>
          </w:tcPr>
          <w:p>
            <w:pPr>
              <w:spacing w:after="0"/>
              <w:rPr>
                <w:sz w:val="14"/>
                <w:szCs w:val="14"/>
                <w:color w:val="auto"/>
              </w:rPr>
            </w:pPr>
          </w:p>
        </w:tc>
        <w:tc>
          <w:tcPr>
            <w:tcW w:w="5420" w:type="dxa"/>
            <w:vAlign w:val="bottom"/>
          </w:tcPr>
          <w:p>
            <w:pPr>
              <w:ind w:left="120"/>
              <w:spacing w:after="0" w:line="168" w:lineRule="exact"/>
              <w:rPr>
                <w:sz w:val="20"/>
                <w:szCs w:val="20"/>
                <w:color w:val="auto"/>
              </w:rPr>
            </w:pPr>
            <w:r>
              <w:rPr>
                <w:rFonts w:ascii="Calibri" w:cs="Calibri" w:eastAsia="Calibri" w:hAnsi="Calibri"/>
                <w:sz w:val="14"/>
                <w:szCs w:val="14"/>
                <w:color w:val="auto"/>
              </w:rPr>
              <w:t>the documents incorporated by reference herein and therein, including our Annual Report</w:t>
            </w:r>
          </w:p>
        </w:tc>
      </w:tr>
      <w:tr>
        <w:trPr>
          <w:trHeight w:val="168"/>
        </w:trPr>
        <w:tc>
          <w:tcPr>
            <w:tcW w:w="3160" w:type="dxa"/>
            <w:vAlign w:val="bottom"/>
          </w:tcPr>
          <w:p>
            <w:pPr>
              <w:spacing w:after="0"/>
              <w:rPr>
                <w:sz w:val="14"/>
                <w:szCs w:val="14"/>
                <w:color w:val="auto"/>
              </w:rPr>
            </w:pPr>
          </w:p>
        </w:tc>
        <w:tc>
          <w:tcPr>
            <w:tcW w:w="5420" w:type="dxa"/>
            <w:vAlign w:val="bottom"/>
          </w:tcPr>
          <w:p>
            <w:pPr>
              <w:ind w:left="120"/>
              <w:spacing w:after="0" w:line="168" w:lineRule="exact"/>
              <w:rPr>
                <w:sz w:val="20"/>
                <w:szCs w:val="20"/>
                <w:color w:val="auto"/>
              </w:rPr>
            </w:pPr>
            <w:r>
              <w:rPr>
                <w:rFonts w:ascii="Calibri" w:cs="Calibri" w:eastAsia="Calibri" w:hAnsi="Calibri"/>
                <w:sz w:val="14"/>
                <w:szCs w:val="14"/>
                <w:color w:val="auto"/>
              </w:rPr>
              <w:t>on Form 10-K for the fscal year ended December 31, 2025 and our subsequent Quarterly</w:t>
            </w:r>
          </w:p>
        </w:tc>
      </w:tr>
      <w:tr>
        <w:trPr>
          <w:trHeight w:val="168"/>
        </w:trPr>
        <w:tc>
          <w:tcPr>
            <w:tcW w:w="3160" w:type="dxa"/>
            <w:vAlign w:val="bottom"/>
          </w:tcPr>
          <w:p>
            <w:pPr>
              <w:spacing w:after="0"/>
              <w:rPr>
                <w:sz w:val="14"/>
                <w:szCs w:val="14"/>
                <w:color w:val="auto"/>
              </w:rPr>
            </w:pPr>
          </w:p>
        </w:tc>
        <w:tc>
          <w:tcPr>
            <w:tcW w:w="5420" w:type="dxa"/>
            <w:vAlign w:val="bottom"/>
          </w:tcPr>
          <w:p>
            <w:pPr>
              <w:ind w:left="120"/>
              <w:spacing w:after="0" w:line="168" w:lineRule="exact"/>
              <w:rPr>
                <w:sz w:val="20"/>
                <w:szCs w:val="20"/>
                <w:color w:val="auto"/>
              </w:rPr>
            </w:pPr>
            <w:r>
              <w:rPr>
                <w:rFonts w:ascii="Calibri" w:cs="Calibri" w:eastAsia="Calibri" w:hAnsi="Calibri"/>
                <w:sz w:val="14"/>
                <w:szCs w:val="14"/>
                <w:color w:val="auto"/>
              </w:rPr>
              <w:t>Reports on Form 10-Q, for a discussion of factors to consider carefully before making an</w:t>
            </w:r>
          </w:p>
        </w:tc>
      </w:tr>
      <w:tr>
        <w:trPr>
          <w:trHeight w:val="168"/>
        </w:trPr>
        <w:tc>
          <w:tcPr>
            <w:tcW w:w="3160" w:type="dxa"/>
            <w:vAlign w:val="bottom"/>
          </w:tcPr>
          <w:p>
            <w:pPr>
              <w:spacing w:after="0"/>
              <w:rPr>
                <w:sz w:val="14"/>
                <w:szCs w:val="14"/>
                <w:color w:val="auto"/>
              </w:rPr>
            </w:pPr>
          </w:p>
        </w:tc>
        <w:tc>
          <w:tcPr>
            <w:tcW w:w="5420" w:type="dxa"/>
            <w:vAlign w:val="bottom"/>
          </w:tcPr>
          <w:p>
            <w:pPr>
              <w:ind w:left="120"/>
              <w:spacing w:after="0" w:line="168" w:lineRule="exact"/>
              <w:rPr>
                <w:sz w:val="20"/>
                <w:szCs w:val="20"/>
                <w:color w:val="auto"/>
              </w:rPr>
            </w:pPr>
            <w:r>
              <w:rPr>
                <w:rFonts w:ascii="Calibri" w:cs="Calibri" w:eastAsia="Calibri" w:hAnsi="Calibri"/>
                <w:sz w:val="14"/>
                <w:szCs w:val="14"/>
                <w:color w:val="auto"/>
              </w:rPr>
              <w:t>investment decision.</w:t>
            </w:r>
          </w:p>
        </w:tc>
      </w:tr>
      <w:tr>
        <w:trPr>
          <w:trHeight w:val="140"/>
        </w:trPr>
        <w:tc>
          <w:tcPr>
            <w:tcW w:w="3160" w:type="dxa"/>
            <w:vAlign w:val="bottom"/>
            <w:tcBorders>
              <w:bottom w:val="single" w:sz="8" w:color="auto"/>
            </w:tcBorders>
          </w:tcPr>
          <w:p>
            <w:pPr>
              <w:spacing w:after="0"/>
              <w:rPr>
                <w:sz w:val="12"/>
                <w:szCs w:val="12"/>
                <w:color w:val="auto"/>
              </w:rPr>
            </w:pPr>
          </w:p>
        </w:tc>
        <w:tc>
          <w:tcPr>
            <w:tcW w:w="5420" w:type="dxa"/>
            <w:vAlign w:val="bottom"/>
            <w:tcBorders>
              <w:bottom w:val="single" w:sz="8" w:color="auto"/>
            </w:tcBorders>
          </w:tcPr>
          <w:p>
            <w:pPr>
              <w:spacing w:after="0"/>
              <w:rPr>
                <w:sz w:val="12"/>
                <w:szCs w:val="12"/>
                <w:color w:val="auto"/>
              </w:rPr>
            </w:pPr>
          </w:p>
        </w:tc>
      </w:tr>
      <w:tr>
        <w:trPr>
          <w:trHeight w:val="260"/>
        </w:trPr>
        <w:tc>
          <w:tcPr>
            <w:tcW w:w="3160" w:type="dxa"/>
            <w:vAlign w:val="bottom"/>
          </w:tcPr>
          <w:p>
            <w:pPr>
              <w:spacing w:after="0"/>
              <w:rPr>
                <w:sz w:val="22"/>
                <w:szCs w:val="22"/>
                <w:color w:val="auto"/>
              </w:rPr>
            </w:pPr>
          </w:p>
        </w:tc>
        <w:tc>
          <w:tcPr>
            <w:tcW w:w="5420" w:type="dxa"/>
            <w:vAlign w:val="bottom"/>
          </w:tcPr>
          <w:p>
            <w:pPr>
              <w:ind w:left="1000"/>
              <w:spacing w:after="0"/>
              <w:rPr>
                <w:sz w:val="20"/>
                <w:szCs w:val="20"/>
                <w:color w:val="auto"/>
              </w:rPr>
            </w:pPr>
            <w:r>
              <w:rPr>
                <w:rFonts w:ascii="Calibri" w:cs="Calibri" w:eastAsia="Calibri" w:hAnsi="Calibri"/>
                <w:sz w:val="14"/>
                <w:szCs w:val="14"/>
                <w:color w:val="auto"/>
              </w:rPr>
              <w:t>S-10</w:t>
            </w:r>
          </w:p>
        </w:tc>
      </w:tr>
    </w:tbl>
    <w:p>
      <w:pPr>
        <w:sectPr>
          <w:pgSz w:w="11900" w:h="16838" w:orient="portrait"/>
          <w:cols w:equalWidth="0" w:num="1">
            <w:col w:w="9019"/>
          </w:cols>
          <w:pgMar w:left="1440" w:top="385" w:right="1440" w:bottom="1440" w:gutter="0" w:footer="0" w:header="0"/>
          <w:type w:val="continuous"/>
        </w:sectPr>
      </w:pPr>
    </w:p>
    <w:bookmarkStart w:id="12" w:name="page13"/>
    <w:bookmarkEnd w:id="12"/>
    <w:p>
      <w:pPr>
        <w:ind w:left="360"/>
        <w:spacing w:after="0"/>
        <w:tabs>
          <w:tab w:leader="none" w:pos="3480" w:val="left"/>
        </w:tabs>
        <w:rPr>
          <w:sz w:val="20"/>
          <w:szCs w:val="20"/>
          <w:color w:val="auto"/>
        </w:rPr>
      </w:pPr>
      <w:r>
        <w:rPr>
          <w:rFonts w:ascii="Calibri" w:cs="Calibri" w:eastAsia="Calibri" w:hAnsi="Calibri"/>
          <w:sz w:val="14"/>
          <w:szCs w:val="14"/>
          <w:b w:val="1"/>
          <w:bCs w:val="1"/>
          <w:color w:val="auto"/>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433832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01535" cy="4338320"/>
                    </a:xfrm>
                    <a:prstGeom prst="rect">
                      <a:avLst/>
                    </a:prstGeom>
                    <a:noFill/>
                  </pic:spPr>
                </pic:pic>
              </a:graphicData>
            </a:graphic>
          </wp:anchor>
        </w:drawing>
        <w:t>Nasdaq trading symbol</w:t>
      </w:r>
      <w:r>
        <w:rPr>
          <w:sz w:val="20"/>
          <w:szCs w:val="20"/>
          <w:color w:val="auto"/>
        </w:rPr>
        <w:tab/>
      </w:r>
      <w:r>
        <w:rPr>
          <w:rFonts w:ascii="Calibri" w:cs="Calibri" w:eastAsia="Calibri" w:hAnsi="Calibri"/>
          <w:sz w:val="13"/>
          <w:szCs w:val="13"/>
          <w:color w:val="auto"/>
        </w:rPr>
        <w:t>“ELVN”</w:t>
      </w:r>
    </w:p>
    <w:p>
      <w:pPr>
        <w:spacing w:after="0" w:line="106" w:lineRule="exact"/>
        <w:rPr>
          <w:sz w:val="20"/>
          <w:szCs w:val="20"/>
          <w:color w:val="auto"/>
        </w:rPr>
      </w:pPr>
    </w:p>
    <w:p>
      <w:pPr>
        <w:ind w:left="3500" w:right="379"/>
        <w:spacing w:after="0" w:line="258" w:lineRule="auto"/>
        <w:rPr>
          <w:sz w:val="20"/>
          <w:szCs w:val="20"/>
          <w:color w:val="auto"/>
        </w:rPr>
      </w:pPr>
      <w:r>
        <w:rPr>
          <w:rFonts w:ascii="Calibri" w:cs="Calibri" w:eastAsia="Calibri" w:hAnsi="Calibri"/>
          <w:sz w:val="13"/>
          <w:szCs w:val="13"/>
          <w:color w:val="auto"/>
        </w:rPr>
        <w:t>There is no established public trading market for the pre-funded warrants, and we do not expect a market to develop. We do not intend to list the pre-funded warrants on The Nasdaq Global Select Market or any other natonal securites exchange or any recognized trading system. Without an actve market, the liquidity of the pre-funded warrants will be limited.</w:t>
      </w:r>
    </w:p>
    <w:p>
      <w:pPr>
        <w:spacing w:after="0" w:line="158" w:lineRule="exact"/>
        <w:rPr>
          <w:sz w:val="20"/>
          <w:szCs w:val="20"/>
          <w:color w:val="auto"/>
        </w:rPr>
      </w:pPr>
    </w:p>
    <w:p>
      <w:pPr>
        <w:ind w:left="360" w:right="499"/>
        <w:spacing w:after="0" w:line="235" w:lineRule="auto"/>
        <w:rPr>
          <w:sz w:val="20"/>
          <w:szCs w:val="20"/>
          <w:color w:val="auto"/>
        </w:rPr>
      </w:pPr>
      <w:r>
        <w:rPr>
          <w:rFonts w:ascii="Calibri" w:cs="Calibri" w:eastAsia="Calibri" w:hAnsi="Calibri"/>
          <w:sz w:val="14"/>
          <w:szCs w:val="14"/>
          <w:color w:val="auto"/>
        </w:rPr>
        <w:t>The number of shares of our common stock to be outstanding afer this ofering is based on 60,889,655 shares of our common stock outstanding as of March 31, 2026, and excludes:</w:t>
      </w:r>
    </w:p>
    <w:p>
      <w:pPr>
        <w:spacing w:after="0" w:line="96" w:lineRule="exact"/>
        <w:rPr>
          <w:sz w:val="20"/>
          <w:szCs w:val="20"/>
          <w:color w:val="auto"/>
        </w:rPr>
      </w:pPr>
    </w:p>
    <w:p>
      <w:pPr>
        <w:ind w:left="1080" w:right="519" w:hanging="310"/>
        <w:spacing w:after="0" w:line="235" w:lineRule="auto"/>
        <w:tabs>
          <w:tab w:leader="none" w:pos="1080" w:val="left"/>
        </w:tabs>
        <w:numPr>
          <w:ilvl w:val="0"/>
          <w:numId w:val="10"/>
        </w:numPr>
        <w:rPr>
          <w:rFonts w:ascii="Calibri" w:cs="Calibri" w:eastAsia="Calibri" w:hAnsi="Calibri"/>
          <w:sz w:val="14"/>
          <w:szCs w:val="14"/>
          <w:color w:val="auto"/>
        </w:rPr>
      </w:pPr>
      <w:r>
        <w:rPr>
          <w:rFonts w:ascii="Calibri" w:cs="Calibri" w:eastAsia="Calibri" w:hAnsi="Calibri"/>
          <w:sz w:val="14"/>
          <w:szCs w:val="14"/>
          <w:color w:val="auto"/>
        </w:rPr>
        <w:t>9,691,203 shares of our common stock issuable upon the exercise of optons outstanding as of March 31, 2026, at a weighted-average exercise price of $19.40 per share;</w:t>
      </w:r>
    </w:p>
    <w:p>
      <w:pPr>
        <w:spacing w:after="0" w:line="95" w:lineRule="exact"/>
        <w:rPr>
          <w:rFonts w:ascii="Calibri" w:cs="Calibri" w:eastAsia="Calibri" w:hAnsi="Calibri"/>
          <w:sz w:val="14"/>
          <w:szCs w:val="14"/>
          <w:color w:val="auto"/>
        </w:rPr>
      </w:pPr>
    </w:p>
    <w:p>
      <w:pPr>
        <w:ind w:left="1080" w:right="399" w:hanging="310"/>
        <w:spacing w:after="0" w:line="235" w:lineRule="auto"/>
        <w:tabs>
          <w:tab w:leader="none" w:pos="1080" w:val="left"/>
        </w:tabs>
        <w:numPr>
          <w:ilvl w:val="0"/>
          <w:numId w:val="10"/>
        </w:numPr>
        <w:rPr>
          <w:rFonts w:ascii="Calibri" w:cs="Calibri" w:eastAsia="Calibri" w:hAnsi="Calibri"/>
          <w:sz w:val="14"/>
          <w:szCs w:val="14"/>
          <w:color w:val="auto"/>
        </w:rPr>
      </w:pPr>
      <w:r>
        <w:rPr>
          <w:rFonts w:ascii="Calibri" w:cs="Calibri" w:eastAsia="Calibri" w:hAnsi="Calibri"/>
          <w:sz w:val="14"/>
          <w:szCs w:val="14"/>
          <w:color w:val="auto"/>
        </w:rPr>
        <w:t>365,087 shares of our common stock issuable upon the exercise of optons granted afer March 31, 2026, at a weighted-average exercise price of $38.16 per share;</w:t>
      </w:r>
    </w:p>
    <w:p>
      <w:pPr>
        <w:spacing w:after="0" w:line="92" w:lineRule="exact"/>
        <w:rPr>
          <w:rFonts w:ascii="Calibri" w:cs="Calibri" w:eastAsia="Calibri" w:hAnsi="Calibri"/>
          <w:sz w:val="14"/>
          <w:szCs w:val="14"/>
          <w:color w:val="auto"/>
        </w:rPr>
      </w:pPr>
    </w:p>
    <w:p>
      <w:pPr>
        <w:ind w:left="1080" w:hanging="310"/>
        <w:spacing w:after="0"/>
        <w:tabs>
          <w:tab w:leader="none" w:pos="1080" w:val="left"/>
        </w:tabs>
        <w:numPr>
          <w:ilvl w:val="0"/>
          <w:numId w:val="10"/>
        </w:numPr>
        <w:rPr>
          <w:rFonts w:ascii="Calibri" w:cs="Calibri" w:eastAsia="Calibri" w:hAnsi="Calibri"/>
          <w:sz w:val="14"/>
          <w:szCs w:val="14"/>
          <w:color w:val="auto"/>
        </w:rPr>
      </w:pPr>
      <w:r>
        <w:rPr>
          <w:rFonts w:ascii="Calibri" w:cs="Calibri" w:eastAsia="Calibri" w:hAnsi="Calibri"/>
          <w:sz w:val="14"/>
          <w:szCs w:val="14"/>
          <w:color w:val="auto"/>
        </w:rPr>
        <w:t>323,008 shares of common stock issuable upon the vestng and setlement of restricted stock units outstanding as of March 31, 2026;</w:t>
      </w:r>
    </w:p>
    <w:p>
      <w:pPr>
        <w:spacing w:after="0" w:line="95" w:lineRule="exact"/>
        <w:rPr>
          <w:rFonts w:ascii="Calibri" w:cs="Calibri" w:eastAsia="Calibri" w:hAnsi="Calibri"/>
          <w:sz w:val="14"/>
          <w:szCs w:val="14"/>
          <w:color w:val="auto"/>
        </w:rPr>
      </w:pPr>
    </w:p>
    <w:p>
      <w:pPr>
        <w:ind w:left="1080" w:right="639" w:hanging="310"/>
        <w:spacing w:after="0" w:line="235" w:lineRule="auto"/>
        <w:tabs>
          <w:tab w:leader="none" w:pos="1080" w:val="left"/>
        </w:tabs>
        <w:numPr>
          <w:ilvl w:val="0"/>
          <w:numId w:val="10"/>
        </w:numPr>
        <w:rPr>
          <w:rFonts w:ascii="Calibri" w:cs="Calibri" w:eastAsia="Calibri" w:hAnsi="Calibri"/>
          <w:sz w:val="14"/>
          <w:szCs w:val="14"/>
          <w:color w:val="auto"/>
        </w:rPr>
      </w:pPr>
      <w:r>
        <w:rPr>
          <w:rFonts w:ascii="Calibri" w:cs="Calibri" w:eastAsia="Calibri" w:hAnsi="Calibri"/>
          <w:sz w:val="14"/>
          <w:szCs w:val="14"/>
          <w:color w:val="auto"/>
        </w:rPr>
        <w:t>67,085 shares of common stock issuable upon the vestng and setlement of restricted stock units that were granted afer March 31, 2026;</w:t>
      </w:r>
    </w:p>
    <w:p>
      <w:pPr>
        <w:spacing w:after="0" w:line="95" w:lineRule="exact"/>
        <w:rPr>
          <w:rFonts w:ascii="Calibri" w:cs="Calibri" w:eastAsia="Calibri" w:hAnsi="Calibri"/>
          <w:sz w:val="14"/>
          <w:szCs w:val="14"/>
          <w:color w:val="auto"/>
        </w:rPr>
      </w:pPr>
    </w:p>
    <w:p>
      <w:pPr>
        <w:ind w:left="1080" w:right="499" w:hanging="310"/>
        <w:spacing w:after="0" w:line="235" w:lineRule="auto"/>
        <w:tabs>
          <w:tab w:leader="none" w:pos="1080" w:val="left"/>
        </w:tabs>
        <w:numPr>
          <w:ilvl w:val="0"/>
          <w:numId w:val="10"/>
        </w:numPr>
        <w:rPr>
          <w:rFonts w:ascii="Calibri" w:cs="Calibri" w:eastAsia="Calibri" w:hAnsi="Calibri"/>
          <w:sz w:val="14"/>
          <w:szCs w:val="14"/>
          <w:color w:val="auto"/>
        </w:rPr>
      </w:pPr>
      <w:r>
        <w:rPr>
          <w:rFonts w:ascii="Calibri" w:cs="Calibri" w:eastAsia="Calibri" w:hAnsi="Calibri"/>
          <w:sz w:val="14"/>
          <w:szCs w:val="14"/>
          <w:color w:val="auto"/>
        </w:rPr>
        <w:t>5,175,085 shares of our common stock reserved for issuance pursuant to future awards under our Amended and Restated 2020 Equity Incentve Plan (the “2020 Plan”) as of March 31, 2026;</w:t>
      </w:r>
    </w:p>
    <w:p>
      <w:pPr>
        <w:spacing w:after="0" w:line="95" w:lineRule="exact"/>
        <w:rPr>
          <w:rFonts w:ascii="Calibri" w:cs="Calibri" w:eastAsia="Calibri" w:hAnsi="Calibri"/>
          <w:sz w:val="14"/>
          <w:szCs w:val="14"/>
          <w:color w:val="auto"/>
        </w:rPr>
      </w:pPr>
    </w:p>
    <w:p>
      <w:pPr>
        <w:ind w:left="1080" w:right="699" w:hanging="310"/>
        <w:spacing w:after="0" w:line="235" w:lineRule="auto"/>
        <w:tabs>
          <w:tab w:leader="none" w:pos="1080" w:val="left"/>
        </w:tabs>
        <w:numPr>
          <w:ilvl w:val="0"/>
          <w:numId w:val="10"/>
        </w:numPr>
        <w:rPr>
          <w:rFonts w:ascii="Calibri" w:cs="Calibri" w:eastAsia="Calibri" w:hAnsi="Calibri"/>
          <w:sz w:val="14"/>
          <w:szCs w:val="14"/>
          <w:color w:val="auto"/>
        </w:rPr>
      </w:pPr>
      <w:r>
        <w:rPr>
          <w:rFonts w:ascii="Calibri" w:cs="Calibri" w:eastAsia="Calibri" w:hAnsi="Calibri"/>
          <w:sz w:val="14"/>
          <w:szCs w:val="14"/>
          <w:color w:val="auto"/>
        </w:rPr>
        <w:t>723,754 shares of our common stock reserved for future issuance under our 2020 Employee Stock Purchase Plan (the “ESPP”) as of March 31, 2026; and</w:t>
      </w:r>
    </w:p>
    <w:p>
      <w:pPr>
        <w:spacing w:after="0" w:line="95" w:lineRule="exact"/>
        <w:rPr>
          <w:rFonts w:ascii="Calibri" w:cs="Calibri" w:eastAsia="Calibri" w:hAnsi="Calibri"/>
          <w:sz w:val="14"/>
          <w:szCs w:val="14"/>
          <w:color w:val="auto"/>
        </w:rPr>
      </w:pPr>
    </w:p>
    <w:p>
      <w:pPr>
        <w:ind w:left="1080" w:right="839" w:hanging="310"/>
        <w:spacing w:after="0" w:line="235" w:lineRule="auto"/>
        <w:tabs>
          <w:tab w:leader="none" w:pos="1080" w:val="left"/>
        </w:tabs>
        <w:numPr>
          <w:ilvl w:val="0"/>
          <w:numId w:val="10"/>
        </w:numPr>
        <w:rPr>
          <w:rFonts w:ascii="Calibri" w:cs="Calibri" w:eastAsia="Calibri" w:hAnsi="Calibri"/>
          <w:sz w:val="14"/>
          <w:szCs w:val="14"/>
          <w:color w:val="auto"/>
        </w:rPr>
      </w:pPr>
      <w:r>
        <w:rPr>
          <w:rFonts w:ascii="Calibri" w:cs="Calibri" w:eastAsia="Calibri" w:hAnsi="Calibri"/>
          <w:sz w:val="14"/>
          <w:szCs w:val="14"/>
          <w:color w:val="auto"/>
        </w:rPr>
        <w:t>2,851,768 shares of common stock issuable upon the exercise of pre-funded warrants outstanding as of March 31, 2026, with an exercise price of $0.001 per share.</w:t>
      </w:r>
    </w:p>
    <w:p>
      <w:pPr>
        <w:spacing w:after="0" w:line="169" w:lineRule="exact"/>
        <w:rPr>
          <w:sz w:val="20"/>
          <w:szCs w:val="20"/>
          <w:color w:val="auto"/>
        </w:rPr>
      </w:pPr>
    </w:p>
    <w:p>
      <w:pPr>
        <w:ind w:left="360" w:right="379"/>
        <w:spacing w:after="0" w:line="235" w:lineRule="auto"/>
        <w:rPr>
          <w:sz w:val="20"/>
          <w:szCs w:val="20"/>
          <w:color w:val="auto"/>
        </w:rPr>
      </w:pPr>
      <w:r>
        <w:rPr>
          <w:rFonts w:ascii="Calibri" w:cs="Calibri" w:eastAsia="Calibri" w:hAnsi="Calibri"/>
          <w:sz w:val="14"/>
          <w:szCs w:val="14"/>
          <w:color w:val="auto"/>
        </w:rPr>
        <w:t>In additon, the number of shares outstanding immediately afer this ofering does not include shares of common stock that we may ofer and sell in the future pursuant to the Open Market Sale Agreement</w:t>
      </w:r>
      <w:r>
        <w:rPr>
          <w:rFonts w:ascii="Calibri" w:cs="Calibri" w:eastAsia="Calibri" w:hAnsi="Calibri"/>
          <w:sz w:val="10"/>
          <w:szCs w:val="10"/>
          <w:color w:val="auto"/>
        </w:rPr>
        <w:t>SM</w:t>
      </w:r>
      <w:r>
        <w:rPr>
          <w:rFonts w:ascii="Calibri" w:cs="Calibri" w:eastAsia="Calibri" w:hAnsi="Calibri"/>
          <w:sz w:val="14"/>
          <w:szCs w:val="14"/>
          <w:color w:val="auto"/>
        </w:rPr>
        <w:t xml:space="preserve"> with Jeferies LLC (the “Sales Agreement”). Afer the expiraton or waiver of the applicable lock-up period applicable to us and described under the secton of this prospectus supplement ttled “Underwritng,” we may ofer and sell shares of our common stock having an aggregate ofering price of up to $200.0 million.</w:t>
      </w:r>
    </w:p>
    <w:p>
      <w:pPr>
        <w:spacing w:after="0" w:line="167" w:lineRule="exact"/>
        <w:rPr>
          <w:sz w:val="20"/>
          <w:szCs w:val="20"/>
          <w:color w:val="auto"/>
        </w:rPr>
      </w:pPr>
    </w:p>
    <w:p>
      <w:pPr>
        <w:ind w:left="360"/>
        <w:spacing w:after="0"/>
        <w:rPr>
          <w:sz w:val="20"/>
          <w:szCs w:val="20"/>
          <w:color w:val="auto"/>
        </w:rPr>
      </w:pPr>
      <w:r>
        <w:rPr>
          <w:rFonts w:ascii="Calibri" w:cs="Calibri" w:eastAsia="Calibri" w:hAnsi="Calibri"/>
          <w:sz w:val="14"/>
          <w:szCs w:val="14"/>
          <w:color w:val="auto"/>
        </w:rPr>
        <w:t>Unless otherwise indicated, all informaton in this prospectus supplement assumes:</w:t>
      </w:r>
    </w:p>
    <w:p>
      <w:pPr>
        <w:spacing w:after="0" w:line="96" w:lineRule="exact"/>
        <w:rPr>
          <w:sz w:val="20"/>
          <w:szCs w:val="20"/>
          <w:color w:val="auto"/>
        </w:rPr>
      </w:pPr>
    </w:p>
    <w:p>
      <w:pPr>
        <w:ind w:left="1080" w:right="759" w:hanging="310"/>
        <w:spacing w:after="0" w:line="235" w:lineRule="auto"/>
        <w:tabs>
          <w:tab w:leader="none" w:pos="1080" w:val="left"/>
        </w:tabs>
        <w:numPr>
          <w:ilvl w:val="0"/>
          <w:numId w:val="11"/>
        </w:numPr>
        <w:rPr>
          <w:rFonts w:ascii="Calibri" w:cs="Calibri" w:eastAsia="Calibri" w:hAnsi="Calibri"/>
          <w:sz w:val="14"/>
          <w:szCs w:val="14"/>
          <w:color w:val="auto"/>
        </w:rPr>
      </w:pPr>
      <w:r>
        <w:rPr>
          <w:rFonts w:ascii="Calibri" w:cs="Calibri" w:eastAsia="Calibri" w:hAnsi="Calibri"/>
          <w:sz w:val="14"/>
          <w:szCs w:val="14"/>
          <w:color w:val="auto"/>
        </w:rPr>
        <w:t>no exercise or setlement of outstanding optons and restricted stock units and no exercise of the pre-funded warrants referred to above;</w:t>
      </w:r>
    </w:p>
    <w:p>
      <w:pPr>
        <w:spacing w:after="0" w:line="92" w:lineRule="exact"/>
        <w:rPr>
          <w:rFonts w:ascii="Calibri" w:cs="Calibri" w:eastAsia="Calibri" w:hAnsi="Calibri"/>
          <w:sz w:val="14"/>
          <w:szCs w:val="14"/>
          <w:color w:val="auto"/>
        </w:rPr>
      </w:pPr>
    </w:p>
    <w:p>
      <w:pPr>
        <w:ind w:left="1080" w:hanging="310"/>
        <w:spacing w:after="0"/>
        <w:tabs>
          <w:tab w:leader="none" w:pos="1080" w:val="left"/>
        </w:tabs>
        <w:numPr>
          <w:ilvl w:val="0"/>
          <w:numId w:val="11"/>
        </w:numPr>
        <w:rPr>
          <w:rFonts w:ascii="Calibri" w:cs="Calibri" w:eastAsia="Calibri" w:hAnsi="Calibri"/>
          <w:sz w:val="14"/>
          <w:szCs w:val="14"/>
          <w:color w:val="auto"/>
        </w:rPr>
      </w:pPr>
      <w:r>
        <w:rPr>
          <w:rFonts w:ascii="Calibri" w:cs="Calibri" w:eastAsia="Calibri" w:hAnsi="Calibri"/>
          <w:sz w:val="14"/>
          <w:szCs w:val="14"/>
          <w:color w:val="auto"/>
        </w:rPr>
        <w:t>no exercise by the underwriters of their opton to purchase additonal shares of our common stock from us; and</w:t>
      </w:r>
    </w:p>
    <w:p>
      <w:pPr>
        <w:spacing w:after="0" w:line="91" w:lineRule="exact"/>
        <w:rPr>
          <w:rFonts w:ascii="Calibri" w:cs="Calibri" w:eastAsia="Calibri" w:hAnsi="Calibri"/>
          <w:sz w:val="14"/>
          <w:szCs w:val="14"/>
          <w:color w:val="auto"/>
        </w:rPr>
      </w:pPr>
    </w:p>
    <w:p>
      <w:pPr>
        <w:ind w:left="1080" w:hanging="310"/>
        <w:spacing w:after="0"/>
        <w:tabs>
          <w:tab w:leader="none" w:pos="1080" w:val="left"/>
        </w:tabs>
        <w:numPr>
          <w:ilvl w:val="0"/>
          <w:numId w:val="11"/>
        </w:numPr>
        <w:rPr>
          <w:rFonts w:ascii="Calibri" w:cs="Calibri" w:eastAsia="Calibri" w:hAnsi="Calibri"/>
          <w:sz w:val="14"/>
          <w:szCs w:val="14"/>
          <w:color w:val="auto"/>
        </w:rPr>
      </w:pPr>
      <w:r>
        <w:rPr>
          <w:rFonts w:ascii="Calibri" w:cs="Calibri" w:eastAsia="Calibri" w:hAnsi="Calibri"/>
          <w:sz w:val="14"/>
          <w:szCs w:val="14"/>
          <w:color w:val="auto"/>
        </w:rPr>
        <w:t>no exercise of the pre-funded warrants that we are ofering in this ofering.</w:t>
      </w:r>
    </w:p>
    <w:p>
      <w:pPr>
        <w:spacing w:after="0" w:line="249" w:lineRule="exact"/>
        <w:rPr>
          <w:sz w:val="20"/>
          <w:szCs w:val="20"/>
          <w:color w:val="auto"/>
        </w:rPr>
      </w:pPr>
    </w:p>
    <w:p>
      <w:pPr>
        <w:jc w:val="center"/>
        <w:spacing w:after="0"/>
        <w:rPr>
          <w:sz w:val="20"/>
          <w:szCs w:val="20"/>
          <w:color w:val="auto"/>
        </w:rPr>
      </w:pPr>
      <w:r>
        <w:rPr>
          <w:rFonts w:ascii="Calibri" w:cs="Calibri" w:eastAsia="Calibri" w:hAnsi="Calibri"/>
          <w:sz w:val="14"/>
          <w:szCs w:val="14"/>
          <w:color w:val="auto"/>
        </w:rPr>
        <w:t>S-11</w:t>
      </w:r>
    </w:p>
    <w:p>
      <w:pPr>
        <w:sectPr>
          <w:pgSz w:w="11900" w:h="16838" w:orient="portrait"/>
          <w:cols w:equalWidth="0" w:num="1">
            <w:col w:w="9019"/>
          </w:cols>
          <w:pgMar w:left="1440" w:top="381" w:right="1440" w:bottom="1440" w:gutter="0" w:footer="0" w:header="0"/>
        </w:sectPr>
      </w:pPr>
    </w:p>
    <w:bookmarkStart w:id="13" w:name="page14"/>
    <w:bookmarkEnd w:id="13"/>
    <w:p>
      <w:pPr>
        <w:jc w:val="center"/>
        <w:ind w:right="19"/>
        <w:spacing w:after="0"/>
        <w:rPr>
          <w:sz w:val="20"/>
          <w:szCs w:val="20"/>
          <w:color w:val="auto"/>
        </w:rPr>
      </w:pPr>
      <w:r>
        <w:rPr>
          <w:rFonts w:ascii="Calibri" w:cs="Calibri" w:eastAsia="Calibri" w:hAnsi="Calibri"/>
          <w:sz w:val="14"/>
          <w:szCs w:val="14"/>
          <w:b w:val="1"/>
          <w:bCs w:val="1"/>
          <w:color w:val="auto"/>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01535" cy="33020"/>
                    </a:xfrm>
                    <a:prstGeom prst="rect">
                      <a:avLst/>
                    </a:prstGeom>
                    <a:noFill/>
                  </pic:spPr>
                </pic:pic>
              </a:graphicData>
            </a:graphic>
          </wp:anchor>
        </w:drawing>
        <w:t>RISK FACTORS</w:t>
      </w:r>
    </w:p>
    <w:p>
      <w:pPr>
        <w:spacing w:after="0" w:line="169" w:lineRule="exact"/>
        <w:rPr>
          <w:sz w:val="20"/>
          <w:szCs w:val="20"/>
          <w:color w:val="auto"/>
        </w:rPr>
      </w:pPr>
    </w:p>
    <w:p>
      <w:pPr>
        <w:ind w:left="220" w:right="259"/>
        <w:spacing w:after="0" w:line="235" w:lineRule="auto"/>
        <w:rPr>
          <w:sz w:val="20"/>
          <w:szCs w:val="20"/>
          <w:color w:val="auto"/>
        </w:rPr>
      </w:pPr>
      <w:r>
        <w:rPr>
          <w:rFonts w:ascii="Calibri" w:cs="Calibri" w:eastAsia="Calibri" w:hAnsi="Calibri"/>
          <w:sz w:val="14"/>
          <w:szCs w:val="14"/>
          <w:i w:val="1"/>
          <w:iCs w:val="1"/>
          <w:color w:val="auto"/>
        </w:rPr>
        <w:t>Investng in our securites involves a high degree of risk. Before making an investment decision, you should consider carefully the risks and uncertaintes described below and discussed under the secton captoned “Risk Factors” contained in our most recent Annual Report on Form 10-K, as may be updated by our subsequent Quarterly Reports on Form 10-Q and other flings we make with the SEC, along with our consolidated fnancial statements and notes to those consolidated fnancial statements, each of which is incorporated by reference in this prospectus supplement and the accompanying prospectus in their entrety, together with other informaton in this prospectus supplement, and the informaton and documents incorporated by reference in this prospectus supplement. If any of these risks actually occurs, our business, operatng results, prospects, or fnancial conditon could be materially and adversely afected. This could cause the trading price of our common stock to decline and you may lose all or part of your investment. The risks described below are not the only ones that we face. Additonal risks not presently known to us or that we currently deem immaterial may also afect our business operatons. See the sectons ttled “Where You Can Find More Informaton” and “Incorporaton by Reference.” Past fnancial performance may not be a reliable indicator of future performance, and historical trends should not be used to antcipate results or trends in future periods. Please also carefully read the secton below ttled “Special Note Regarding Forward-Looking Statements.”</w:t>
      </w:r>
    </w:p>
    <w:p>
      <w:pPr>
        <w:spacing w:after="0" w:line="256" w:lineRule="exact"/>
        <w:rPr>
          <w:sz w:val="20"/>
          <w:szCs w:val="20"/>
          <w:color w:val="auto"/>
        </w:rPr>
      </w:pPr>
    </w:p>
    <w:p>
      <w:pPr>
        <w:ind w:left="220"/>
        <w:spacing w:after="0"/>
        <w:rPr>
          <w:sz w:val="20"/>
          <w:szCs w:val="20"/>
          <w:color w:val="auto"/>
        </w:rPr>
      </w:pPr>
      <w:r>
        <w:rPr>
          <w:rFonts w:ascii="Calibri" w:cs="Calibri" w:eastAsia="Calibri" w:hAnsi="Calibri"/>
          <w:sz w:val="14"/>
          <w:szCs w:val="14"/>
          <w:b w:val="1"/>
          <w:bCs w:val="1"/>
          <w:color w:val="auto"/>
        </w:rPr>
        <w:t>Risks Related to this Ofering</w:t>
      </w:r>
    </w:p>
    <w:p>
      <w:pPr>
        <w:spacing w:after="0" w:line="85" w:lineRule="exact"/>
        <w:rPr>
          <w:sz w:val="20"/>
          <w:szCs w:val="20"/>
          <w:color w:val="auto"/>
        </w:rPr>
      </w:pPr>
    </w:p>
    <w:p>
      <w:pPr>
        <w:ind w:left="220" w:right="359"/>
        <w:spacing w:after="0" w:line="235" w:lineRule="auto"/>
        <w:rPr>
          <w:sz w:val="20"/>
          <w:szCs w:val="20"/>
          <w:color w:val="auto"/>
        </w:rPr>
      </w:pPr>
      <w:r>
        <w:rPr>
          <w:rFonts w:ascii="Calibri" w:cs="Calibri" w:eastAsia="Calibri" w:hAnsi="Calibri"/>
          <w:sz w:val="14"/>
          <w:szCs w:val="14"/>
          <w:b w:val="1"/>
          <w:bCs w:val="1"/>
          <w:i w:val="1"/>
          <w:iCs w:val="1"/>
          <w:color w:val="auto"/>
        </w:rPr>
        <w:t>Our management team has broad discreton to use the net proceeds from this ofering and its investment of these proceeds may not yield a favorable return. They may invest the net proceeds from this ofering in ways with which investors disagree.</w:t>
      </w:r>
    </w:p>
    <w:p>
      <w:pPr>
        <w:spacing w:after="0" w:line="85" w:lineRule="exact"/>
        <w:rPr>
          <w:sz w:val="20"/>
          <w:szCs w:val="20"/>
          <w:color w:val="auto"/>
        </w:rPr>
      </w:pPr>
    </w:p>
    <w:p>
      <w:pPr>
        <w:ind w:left="220" w:right="259"/>
        <w:spacing w:after="0" w:line="235" w:lineRule="auto"/>
        <w:rPr>
          <w:sz w:val="20"/>
          <w:szCs w:val="20"/>
          <w:color w:val="auto"/>
        </w:rPr>
      </w:pPr>
      <w:r>
        <w:rPr>
          <w:rFonts w:ascii="Calibri" w:cs="Calibri" w:eastAsia="Calibri" w:hAnsi="Calibri"/>
          <w:sz w:val="14"/>
          <w:szCs w:val="14"/>
          <w:color w:val="auto"/>
        </w:rPr>
        <w:t>Our management will have broad discreton over the use of net proceeds from this ofering and could spend the net proceeds in ways our stockholders may not agree with or that do not yield a favorable return, if at all. If we do not invest or apply the net proceeds from this ofering in ways that improve our operatng results, we may fail to achieve expected fnancial results, which could cause our stock price to decline and could harm our business, fnancial conditon, results of operatons, and prospects. Pending their use, we may invest the net proceeds from this ofering in a manner that does not produce income or that loses value. For additonal details, see the secton ttled “Use of Proceeds.”</w:t>
      </w:r>
    </w:p>
    <w:p>
      <w:pPr>
        <w:spacing w:after="0" w:line="252" w:lineRule="exact"/>
        <w:rPr>
          <w:sz w:val="20"/>
          <w:szCs w:val="20"/>
          <w:color w:val="auto"/>
        </w:rPr>
      </w:pPr>
    </w:p>
    <w:p>
      <w:pPr>
        <w:ind w:left="220"/>
        <w:spacing w:after="0"/>
        <w:rPr>
          <w:sz w:val="20"/>
          <w:szCs w:val="20"/>
          <w:color w:val="auto"/>
        </w:rPr>
      </w:pPr>
      <w:r>
        <w:rPr>
          <w:rFonts w:ascii="Calibri" w:cs="Calibri" w:eastAsia="Calibri" w:hAnsi="Calibri"/>
          <w:sz w:val="14"/>
          <w:szCs w:val="14"/>
          <w:b w:val="1"/>
          <w:bCs w:val="1"/>
          <w:i w:val="1"/>
          <w:iCs w:val="1"/>
          <w:color w:val="auto"/>
        </w:rPr>
        <w:t>If you purchase securites in this ofering, you will experience immediate and substantal diluton in the book value of your shares.</w:t>
      </w:r>
    </w:p>
    <w:p>
      <w:pPr>
        <w:spacing w:after="0" w:line="85" w:lineRule="exact"/>
        <w:rPr>
          <w:sz w:val="20"/>
          <w:szCs w:val="20"/>
          <w:color w:val="auto"/>
        </w:rPr>
      </w:pPr>
    </w:p>
    <w:p>
      <w:pPr>
        <w:ind w:left="220" w:right="259"/>
        <w:spacing w:after="0" w:line="257" w:lineRule="auto"/>
        <w:rPr>
          <w:sz w:val="20"/>
          <w:szCs w:val="20"/>
          <w:color w:val="auto"/>
        </w:rPr>
      </w:pPr>
      <w:r>
        <w:rPr>
          <w:rFonts w:ascii="Calibri" w:cs="Calibri" w:eastAsia="Calibri" w:hAnsi="Calibri"/>
          <w:sz w:val="13"/>
          <w:szCs w:val="13"/>
          <w:color w:val="auto"/>
        </w:rPr>
        <w:t>If you purchase shares of our common stock or pre-funded warrants in this ofering, you will incur immediate and substantal diluton in the as adjusted net tangible book value of your common stock or the underlying pre-funded warrants purchased in this ofering because the price that you pay will be substantally greater than the net tangible book value per share of the shares you acquire. To the extent outstanding optons are exercised, restricted stock units vest and setle, outstanding pre-funded warrants are exercised, or we raise additonal capital, pursuant to the Sales Agreement or otherwise, you will incur further diluton. For additonal informaton on the diluton that you will experience immediately afer this ofering, see the secton ttled “Diluton.”</w:t>
      </w:r>
    </w:p>
    <w:p>
      <w:pPr>
        <w:spacing w:after="0" w:line="239" w:lineRule="exact"/>
        <w:rPr>
          <w:sz w:val="20"/>
          <w:szCs w:val="20"/>
          <w:color w:val="auto"/>
        </w:rPr>
      </w:pPr>
    </w:p>
    <w:p>
      <w:pPr>
        <w:ind w:left="220"/>
        <w:spacing w:after="0"/>
        <w:rPr>
          <w:sz w:val="20"/>
          <w:szCs w:val="20"/>
          <w:color w:val="auto"/>
        </w:rPr>
      </w:pPr>
      <w:r>
        <w:rPr>
          <w:rFonts w:ascii="Calibri" w:cs="Calibri" w:eastAsia="Calibri" w:hAnsi="Calibri"/>
          <w:sz w:val="14"/>
          <w:szCs w:val="14"/>
          <w:b w:val="1"/>
          <w:bCs w:val="1"/>
          <w:i w:val="1"/>
          <w:iCs w:val="1"/>
          <w:color w:val="auto"/>
        </w:rPr>
        <w:t>The pre-funded warrants are not listed on any exchange and we do not intend to list the pre-funded warrants on any exchange.</w:t>
      </w:r>
    </w:p>
    <w:p>
      <w:pPr>
        <w:spacing w:after="0" w:line="85" w:lineRule="exact"/>
        <w:rPr>
          <w:sz w:val="20"/>
          <w:szCs w:val="20"/>
          <w:color w:val="auto"/>
        </w:rPr>
      </w:pPr>
    </w:p>
    <w:p>
      <w:pPr>
        <w:jc w:val="both"/>
        <w:ind w:left="220" w:right="459"/>
        <w:spacing w:after="0" w:line="235" w:lineRule="auto"/>
        <w:rPr>
          <w:sz w:val="20"/>
          <w:szCs w:val="20"/>
          <w:color w:val="auto"/>
        </w:rPr>
      </w:pPr>
      <w:r>
        <w:rPr>
          <w:rFonts w:ascii="Calibri" w:cs="Calibri" w:eastAsia="Calibri" w:hAnsi="Calibri"/>
          <w:sz w:val="14"/>
          <w:szCs w:val="14"/>
          <w:color w:val="auto"/>
        </w:rPr>
        <w:t>If you purchase pre-funded warrants, you may be unable to sell such warrants at the prices desired or at all. There is no existng trading market for the pre-funded warrants and there can be no assurance that a liquid market will develop or be maintained for the pre-funded warrants, or that you will be able to sell any of the pre-funded warrants at a partcular tme (if at all). In additon, we do not intend to apply for listng of the pre-funded warrants on Nasdaq or any other securites exchange or natonally recognized trading system. The</w:t>
      </w:r>
    </w:p>
    <w:p>
      <w:pPr>
        <w:spacing w:after="0" w:line="114" w:lineRule="exact"/>
        <w:rPr>
          <w:sz w:val="20"/>
          <w:szCs w:val="20"/>
          <w:color w:val="auto"/>
        </w:rPr>
      </w:pPr>
    </w:p>
    <w:p>
      <w:pPr>
        <w:jc w:val="center"/>
        <w:ind w:right="19"/>
        <w:spacing w:after="0"/>
        <w:rPr>
          <w:sz w:val="20"/>
          <w:szCs w:val="20"/>
          <w:color w:val="auto"/>
        </w:rPr>
      </w:pPr>
      <w:r>
        <w:rPr>
          <w:rFonts w:ascii="Calibri" w:cs="Calibri" w:eastAsia="Calibri" w:hAnsi="Calibri"/>
          <w:sz w:val="14"/>
          <w:szCs w:val="14"/>
          <w:color w:val="auto"/>
        </w:rPr>
        <w:t>S-12</w:t>
      </w:r>
    </w:p>
    <w:p>
      <w:pPr>
        <w:sectPr>
          <w:pgSz w:w="11900" w:h="16838" w:orient="portrait"/>
          <w:cols w:equalWidth="0" w:num="1">
            <w:col w:w="9019"/>
          </w:cols>
          <w:pgMar w:left="1440" w:top="234" w:right="1440" w:bottom="1440" w:gutter="0" w:footer="0" w:header="0"/>
        </w:sectPr>
      </w:pPr>
    </w:p>
    <w:bookmarkStart w:id="14" w:name="page15"/>
    <w:bookmarkEnd w:id="14"/>
    <w:p>
      <w:pPr>
        <w:ind w:left="220" w:right="239"/>
        <w:spacing w:after="0" w:line="235" w:lineRule="auto"/>
        <w:rPr>
          <w:sz w:val="20"/>
          <w:szCs w:val="20"/>
          <w:color w:val="auto"/>
        </w:rPr>
      </w:pPr>
      <w:r>
        <w:rPr>
          <w:rFonts w:ascii="Calibri" w:cs="Calibri" w:eastAsia="Calibri" w:hAnsi="Calibri"/>
          <w:sz w:val="14"/>
          <w:szCs w:val="14"/>
          <w:color w:val="auto"/>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01535" cy="33020"/>
                    </a:xfrm>
                    <a:prstGeom prst="rect">
                      <a:avLst/>
                    </a:prstGeom>
                    <a:noFill/>
                  </pic:spPr>
                </pic:pic>
              </a:graphicData>
            </a:graphic>
          </wp:anchor>
        </w:drawing>
        <w:t>liquidity of the trading market in the pre-funded warrants and the sale price, if any, for the pre-funded warrants, may be adversely afected by, among other things: (i) changes in the overall market for the pre-funded warrants; (ii) changes in our fnancial performance or prospects; (iii) changes or perceived changes in our creditworthiness; (iv) the prospects for companies in the industry generally; (v) the number of holders of the pre-funded warrants; and (vi) the interest of securites dealers in making a market for the pre-funded warrants.</w:t>
      </w:r>
    </w:p>
    <w:p>
      <w:pPr>
        <w:spacing w:after="0" w:line="255" w:lineRule="exact"/>
        <w:rPr>
          <w:sz w:val="20"/>
          <w:szCs w:val="20"/>
          <w:color w:val="auto"/>
        </w:rPr>
      </w:pPr>
    </w:p>
    <w:p>
      <w:pPr>
        <w:ind w:left="220" w:right="259"/>
        <w:spacing w:after="0" w:line="235" w:lineRule="auto"/>
        <w:rPr>
          <w:sz w:val="20"/>
          <w:szCs w:val="20"/>
          <w:color w:val="auto"/>
        </w:rPr>
      </w:pPr>
      <w:r>
        <w:rPr>
          <w:rFonts w:ascii="Calibri" w:cs="Calibri" w:eastAsia="Calibri" w:hAnsi="Calibri"/>
          <w:sz w:val="14"/>
          <w:szCs w:val="14"/>
          <w:b w:val="1"/>
          <w:bCs w:val="1"/>
          <w:i w:val="1"/>
          <w:iCs w:val="1"/>
          <w:color w:val="auto"/>
        </w:rPr>
        <w:t>Except for the right to partcipate in certain dividends and distributons, holders of the pre-funded warrants will have no rights as common stockholders untl such holders exercise their pre-funded warrants and acquire our common stock.</w:t>
      </w:r>
    </w:p>
    <w:p>
      <w:pPr>
        <w:spacing w:after="0" w:line="85" w:lineRule="exact"/>
        <w:rPr>
          <w:sz w:val="20"/>
          <w:szCs w:val="20"/>
          <w:color w:val="auto"/>
        </w:rPr>
      </w:pPr>
    </w:p>
    <w:p>
      <w:pPr>
        <w:ind w:left="220" w:right="259"/>
        <w:spacing w:after="0" w:line="235" w:lineRule="auto"/>
        <w:rPr>
          <w:sz w:val="20"/>
          <w:szCs w:val="20"/>
          <w:color w:val="auto"/>
        </w:rPr>
      </w:pPr>
      <w:r>
        <w:rPr>
          <w:rFonts w:ascii="Calibri" w:cs="Calibri" w:eastAsia="Calibri" w:hAnsi="Calibri"/>
          <w:sz w:val="14"/>
          <w:szCs w:val="14"/>
          <w:color w:val="auto"/>
        </w:rPr>
        <w:t>Untl holders of the pre-funded warrants exercise their pre-funded warrants and acquire shares of our common stock, such holders will have no rights with respect to the shares of our common stock underlying such pre-funded warrants, except that the holder of a pre-funded warrant shall be enttled to partcipate in certain distributons, including cash dividends, if any, to all holders of our common stock for no consideraton. Upon exercise of the pre-funded warrants, the holders will be enttled to exercise the rights of a common stockholder only as to maters for which the record date occurs afer the exercise date.</w:t>
      </w:r>
    </w:p>
    <w:p>
      <w:pPr>
        <w:spacing w:after="0" w:line="252" w:lineRule="exact"/>
        <w:rPr>
          <w:sz w:val="20"/>
          <w:szCs w:val="20"/>
          <w:color w:val="auto"/>
        </w:rPr>
      </w:pPr>
    </w:p>
    <w:p>
      <w:pPr>
        <w:ind w:left="220"/>
        <w:spacing w:after="0"/>
        <w:rPr>
          <w:sz w:val="20"/>
          <w:szCs w:val="20"/>
          <w:color w:val="auto"/>
        </w:rPr>
      </w:pPr>
      <w:r>
        <w:rPr>
          <w:rFonts w:ascii="Calibri" w:cs="Calibri" w:eastAsia="Calibri" w:hAnsi="Calibri"/>
          <w:sz w:val="14"/>
          <w:szCs w:val="14"/>
          <w:b w:val="1"/>
          <w:bCs w:val="1"/>
          <w:i w:val="1"/>
          <w:iCs w:val="1"/>
          <w:color w:val="auto"/>
        </w:rPr>
        <w:t>Signifcant holders or benefcial owners of our common stock may not be permited to exercise the pre-funded warrants that they hold.</w:t>
      </w:r>
    </w:p>
    <w:p>
      <w:pPr>
        <w:spacing w:after="0" w:line="85" w:lineRule="exact"/>
        <w:rPr>
          <w:sz w:val="20"/>
          <w:szCs w:val="20"/>
          <w:color w:val="auto"/>
        </w:rPr>
      </w:pPr>
    </w:p>
    <w:p>
      <w:pPr>
        <w:ind w:left="220" w:right="259"/>
        <w:spacing w:after="0" w:line="235" w:lineRule="auto"/>
        <w:rPr>
          <w:sz w:val="20"/>
          <w:szCs w:val="20"/>
          <w:color w:val="auto"/>
        </w:rPr>
      </w:pPr>
      <w:r>
        <w:rPr>
          <w:rFonts w:ascii="Calibri" w:cs="Calibri" w:eastAsia="Calibri" w:hAnsi="Calibri"/>
          <w:sz w:val="14"/>
          <w:szCs w:val="14"/>
          <w:color w:val="auto"/>
        </w:rPr>
        <w:t>A holder of the pre-funded warrants will not be enttled to exercise any porton of such pre-funded warrants which, upon giving efect to such exercise, would cause the aggregate number of shares of our common stock benefcially owned by the holder (together with its afliates) to exceed 4.99% or, at the electon of the holder prior to the issuance of such warrant, 9.99% of the number of shares of our common stock outstanding immediately afer giving efect to the exercise, as such percentage ownership is determined in accordance with the terms of the pre-funded warrants. Such percentage may be increased by the holder of the pre-funded warrants to any other percentage not in excess of 19.99% upon at least 61 days’ prior notce from the holder to us. As a result, you may not be able to exercise your pre-funded warrants for shares of our common stock at a tme when it would be fnancially benefcial for you to do so. In such circumstance you could seek to sell your pre-funded warrants to realize value, but you may be unable to do so in the absence of an established trading market for the pre-funded warrants.</w:t>
      </w:r>
    </w:p>
    <w:p>
      <w:pPr>
        <w:spacing w:after="0" w:line="254" w:lineRule="exact"/>
        <w:rPr>
          <w:sz w:val="20"/>
          <w:szCs w:val="20"/>
          <w:color w:val="auto"/>
        </w:rPr>
      </w:pPr>
    </w:p>
    <w:p>
      <w:pPr>
        <w:ind w:left="220"/>
        <w:spacing w:after="0"/>
        <w:rPr>
          <w:sz w:val="20"/>
          <w:szCs w:val="20"/>
          <w:color w:val="auto"/>
        </w:rPr>
      </w:pPr>
      <w:r>
        <w:rPr>
          <w:rFonts w:ascii="Calibri" w:cs="Calibri" w:eastAsia="Calibri" w:hAnsi="Calibri"/>
          <w:sz w:val="14"/>
          <w:szCs w:val="14"/>
          <w:b w:val="1"/>
          <w:bCs w:val="1"/>
          <w:i w:val="1"/>
          <w:iCs w:val="1"/>
          <w:color w:val="auto"/>
        </w:rPr>
        <w:t>We will not receive any meaningful amount of additonal funds upon the exercise of the pre-funded warrants.</w:t>
      </w:r>
    </w:p>
    <w:p>
      <w:pPr>
        <w:spacing w:after="0" w:line="85" w:lineRule="exact"/>
        <w:rPr>
          <w:sz w:val="20"/>
          <w:szCs w:val="20"/>
          <w:color w:val="auto"/>
        </w:rPr>
      </w:pPr>
    </w:p>
    <w:p>
      <w:pPr>
        <w:ind w:left="220" w:right="259"/>
        <w:spacing w:after="0" w:line="235" w:lineRule="auto"/>
        <w:rPr>
          <w:sz w:val="20"/>
          <w:szCs w:val="20"/>
          <w:color w:val="auto"/>
        </w:rPr>
      </w:pPr>
      <w:r>
        <w:rPr>
          <w:rFonts w:ascii="Calibri" w:cs="Calibri" w:eastAsia="Calibri" w:hAnsi="Calibri"/>
          <w:sz w:val="14"/>
          <w:szCs w:val="14"/>
          <w:color w:val="auto"/>
        </w:rPr>
        <w:t>Each pre-funded warrant will be exercisable untl it is fully exercised and by means of payment of the nominal cash purchase price upon exercise or by means of a “cashless exercise” according to a formula set forth in the pre-funded warrant. Accordingly, we will not receive any meaningful additonal funds upon the exercise of the pre-funded warrants.</w:t>
      </w:r>
    </w:p>
    <w:p>
      <w:pPr>
        <w:spacing w:after="0" w:line="254" w:lineRule="exact"/>
        <w:rPr>
          <w:sz w:val="20"/>
          <w:szCs w:val="20"/>
          <w:color w:val="auto"/>
        </w:rPr>
      </w:pPr>
    </w:p>
    <w:p>
      <w:pPr>
        <w:ind w:left="220" w:right="439"/>
        <w:spacing w:after="0" w:line="235" w:lineRule="auto"/>
        <w:rPr>
          <w:sz w:val="20"/>
          <w:szCs w:val="20"/>
          <w:color w:val="auto"/>
        </w:rPr>
      </w:pPr>
      <w:r>
        <w:rPr>
          <w:rFonts w:ascii="Calibri" w:cs="Calibri" w:eastAsia="Calibri" w:hAnsi="Calibri"/>
          <w:sz w:val="14"/>
          <w:szCs w:val="14"/>
          <w:b w:val="1"/>
          <w:bCs w:val="1"/>
          <w:i w:val="1"/>
          <w:iCs w:val="1"/>
          <w:color w:val="auto"/>
        </w:rPr>
        <w:t>If we do not maintain a current and efectve registraton statement relatng to the shares of common stock issuable upon exercise of the pre-funded warrants, holders will only be able to exercise such pre-funded warrants on a “cashless basis.”</w:t>
      </w:r>
    </w:p>
    <w:p>
      <w:pPr>
        <w:spacing w:after="0" w:line="85" w:lineRule="exact"/>
        <w:rPr>
          <w:sz w:val="20"/>
          <w:szCs w:val="20"/>
          <w:color w:val="auto"/>
        </w:rPr>
      </w:pPr>
    </w:p>
    <w:p>
      <w:pPr>
        <w:ind w:left="220" w:right="239"/>
        <w:spacing w:after="0" w:line="235" w:lineRule="auto"/>
        <w:rPr>
          <w:sz w:val="20"/>
          <w:szCs w:val="20"/>
          <w:color w:val="auto"/>
        </w:rPr>
      </w:pPr>
      <w:r>
        <w:rPr>
          <w:rFonts w:ascii="Calibri" w:cs="Calibri" w:eastAsia="Calibri" w:hAnsi="Calibri"/>
          <w:sz w:val="14"/>
          <w:szCs w:val="14"/>
          <w:color w:val="auto"/>
        </w:rPr>
        <w:t>If we do not maintain a current and efectve registraton statement relatng to the shares of common stock issuable upon exercise of the pre-funded warrants at the tme that holders wish to exercise such pre-funded warrants, they will only be able to exercise them on a “cashless basis” provided that an exempton from registraton is available. As a result, the number of shares of common stock that holders will receive upon exercise of the pre-funded warrants will be fewer than it would have been had such holder exercised his warrant for cash, and holders may be limited in their ability to immediately sell shares upon exercise subject to volume or other securites law limitatons. Further, if an exempton from registraton is not available, holders would not be able to exercise on a cashless basis and would only be able to exercise their pre-funded warrants for cash if a current and efectve registraton statement relatng to the shares of common stock issuable upon exercise of the pre-funded warrants is available.</w:t>
      </w:r>
    </w:p>
    <w:p>
      <w:pPr>
        <w:spacing w:after="0" w:line="117" w:lineRule="exact"/>
        <w:rPr>
          <w:sz w:val="20"/>
          <w:szCs w:val="20"/>
          <w:color w:val="auto"/>
        </w:rPr>
      </w:pPr>
    </w:p>
    <w:p>
      <w:pPr>
        <w:jc w:val="center"/>
        <w:ind w:right="19"/>
        <w:spacing w:after="0"/>
        <w:rPr>
          <w:sz w:val="20"/>
          <w:szCs w:val="20"/>
          <w:color w:val="auto"/>
        </w:rPr>
      </w:pPr>
      <w:r>
        <w:rPr>
          <w:rFonts w:ascii="Calibri" w:cs="Calibri" w:eastAsia="Calibri" w:hAnsi="Calibri"/>
          <w:sz w:val="14"/>
          <w:szCs w:val="14"/>
          <w:color w:val="auto"/>
        </w:rPr>
        <w:t>S-13</w:t>
      </w:r>
    </w:p>
    <w:p>
      <w:pPr>
        <w:sectPr>
          <w:pgSz w:w="11900" w:h="16838" w:orient="portrait"/>
          <w:cols w:equalWidth="0" w:num="1">
            <w:col w:w="9019"/>
          </w:cols>
          <w:pgMar w:left="1440" w:top="238" w:right="1440" w:bottom="1440" w:gutter="0" w:footer="0" w:header="0"/>
        </w:sectPr>
      </w:pPr>
    </w:p>
    <w:bookmarkStart w:id="15" w:name="page16"/>
    <w:bookmarkEnd w:id="15"/>
    <w:p>
      <w:pPr>
        <w:ind w:left="220"/>
        <w:spacing w:after="0"/>
        <w:rPr>
          <w:sz w:val="20"/>
          <w:szCs w:val="20"/>
          <w:color w:val="auto"/>
        </w:rPr>
      </w:pPr>
      <w:r>
        <w:rPr>
          <w:rFonts w:ascii="Calibri" w:cs="Calibri" w:eastAsia="Calibri" w:hAnsi="Calibri"/>
          <w:sz w:val="14"/>
          <w:szCs w:val="14"/>
          <w:b w:val="1"/>
          <w:bCs w:val="1"/>
          <w:i w:val="1"/>
          <w:iCs w:val="1"/>
          <w:color w:val="auto"/>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01535" cy="33020"/>
                    </a:xfrm>
                    <a:prstGeom prst="rect">
                      <a:avLst/>
                    </a:prstGeom>
                    <a:noFill/>
                  </pic:spPr>
                </pic:pic>
              </a:graphicData>
            </a:graphic>
          </wp:anchor>
        </w:drawing>
        <w:t>We may issue additonal equity or convertble debt securites in the future, which may result in additonal diluton to you.</w:t>
      </w:r>
    </w:p>
    <w:p>
      <w:pPr>
        <w:spacing w:after="0" w:line="85" w:lineRule="exact"/>
        <w:rPr>
          <w:sz w:val="20"/>
          <w:szCs w:val="20"/>
          <w:color w:val="auto"/>
        </w:rPr>
      </w:pPr>
    </w:p>
    <w:p>
      <w:pPr>
        <w:ind w:left="220" w:right="259"/>
        <w:spacing w:after="0" w:line="235" w:lineRule="auto"/>
        <w:rPr>
          <w:sz w:val="20"/>
          <w:szCs w:val="20"/>
          <w:color w:val="auto"/>
        </w:rPr>
      </w:pPr>
      <w:r>
        <w:rPr>
          <w:rFonts w:ascii="Calibri" w:cs="Calibri" w:eastAsia="Calibri" w:hAnsi="Calibri"/>
          <w:sz w:val="14"/>
          <w:szCs w:val="14"/>
          <w:color w:val="auto"/>
        </w:rPr>
        <w:t>To the extent outstanding stock optons are exercised or outstanding pre-funded warrants are exercised, there will be diluton. In additon, in order to raise additonal capital, we expect to in the future ofer additonal shares of our common stock or other securites convertble into or exchangeable for our common stock. We cannot assure you that we will be able to sell shares or other securites in any other ofering at a price per share that is equal to or greater than the price per share paid by investors in this ofering, and investors purchasing shares or other securites in the future could have rights superior to existng stockholders. The price per share at which we sell additonal shares of our common stock or other securites convertble into or exchangeable for our common stock in future transactons may be higher or lower than the price per share in this ofering.</w:t>
      </w:r>
    </w:p>
    <w:p>
      <w:pPr>
        <w:spacing w:after="0" w:line="256" w:lineRule="exact"/>
        <w:rPr>
          <w:sz w:val="20"/>
          <w:szCs w:val="20"/>
          <w:color w:val="auto"/>
        </w:rPr>
      </w:pPr>
    </w:p>
    <w:p>
      <w:pPr>
        <w:ind w:left="220" w:right="499"/>
        <w:spacing w:after="0" w:line="235" w:lineRule="auto"/>
        <w:rPr>
          <w:sz w:val="20"/>
          <w:szCs w:val="20"/>
          <w:color w:val="auto"/>
        </w:rPr>
      </w:pPr>
      <w:r>
        <w:rPr>
          <w:rFonts w:ascii="Calibri" w:cs="Calibri" w:eastAsia="Calibri" w:hAnsi="Calibri"/>
          <w:sz w:val="14"/>
          <w:szCs w:val="14"/>
          <w:b w:val="1"/>
          <w:bCs w:val="1"/>
          <w:i w:val="1"/>
          <w:iCs w:val="1"/>
          <w:color w:val="auto"/>
        </w:rPr>
        <w:t>Future sales or issuances of our common stock in the public markets, or the percepton of such sales, could depress the trading price of our common stock.</w:t>
      </w:r>
    </w:p>
    <w:p>
      <w:pPr>
        <w:spacing w:after="0" w:line="85" w:lineRule="exact"/>
        <w:rPr>
          <w:sz w:val="20"/>
          <w:szCs w:val="20"/>
          <w:color w:val="auto"/>
        </w:rPr>
      </w:pPr>
    </w:p>
    <w:p>
      <w:pPr>
        <w:ind w:left="220" w:right="259"/>
        <w:spacing w:after="0" w:line="235" w:lineRule="auto"/>
        <w:rPr>
          <w:sz w:val="20"/>
          <w:szCs w:val="20"/>
          <w:color w:val="auto"/>
        </w:rPr>
      </w:pPr>
      <w:r>
        <w:rPr>
          <w:rFonts w:ascii="Calibri" w:cs="Calibri" w:eastAsia="Calibri" w:hAnsi="Calibri"/>
          <w:sz w:val="14"/>
          <w:szCs w:val="14"/>
          <w:color w:val="auto"/>
        </w:rPr>
        <w:t>The sale of a substantal number of shares of our common stock or other equity-related securites in the public markets, or the percepton that such sales could occur, could depress the market price of our common stock and impair our ability to raise capital through the sale of additonal equity securites. We may sell large quanttes of our common stock at any tme pursuant to one or more separate oferings in the future. We cannot predict the efect that future sales of common stock or other equity-related securites would have on the market price of our common stock.</w:t>
      </w:r>
    </w:p>
    <w:p>
      <w:pPr>
        <w:spacing w:after="0" w:line="255" w:lineRule="exact"/>
        <w:rPr>
          <w:sz w:val="20"/>
          <w:szCs w:val="20"/>
          <w:color w:val="auto"/>
        </w:rPr>
      </w:pPr>
    </w:p>
    <w:p>
      <w:pPr>
        <w:ind w:left="220" w:right="539"/>
        <w:spacing w:after="0" w:line="235" w:lineRule="auto"/>
        <w:rPr>
          <w:sz w:val="20"/>
          <w:szCs w:val="20"/>
          <w:color w:val="auto"/>
        </w:rPr>
      </w:pPr>
      <w:r>
        <w:rPr>
          <w:rFonts w:ascii="Calibri" w:cs="Calibri" w:eastAsia="Calibri" w:hAnsi="Calibri"/>
          <w:sz w:val="14"/>
          <w:szCs w:val="14"/>
          <w:b w:val="1"/>
          <w:bCs w:val="1"/>
          <w:i w:val="1"/>
          <w:iCs w:val="1"/>
          <w:color w:val="auto"/>
        </w:rPr>
        <w:t>We do not currently intend to pay dividends on our common stock, and, consequently, investors’ ability to achieve a return on their investment will depend on appreciaton in the price of our common stock.</w:t>
      </w:r>
    </w:p>
    <w:p>
      <w:pPr>
        <w:spacing w:after="0" w:line="85" w:lineRule="exact"/>
        <w:rPr>
          <w:sz w:val="20"/>
          <w:szCs w:val="20"/>
          <w:color w:val="auto"/>
        </w:rPr>
      </w:pPr>
    </w:p>
    <w:p>
      <w:pPr>
        <w:ind w:left="220" w:right="319"/>
        <w:spacing w:after="0" w:line="258" w:lineRule="auto"/>
        <w:rPr>
          <w:sz w:val="20"/>
          <w:szCs w:val="20"/>
          <w:color w:val="auto"/>
        </w:rPr>
      </w:pPr>
      <w:r>
        <w:rPr>
          <w:rFonts w:ascii="Calibri" w:cs="Calibri" w:eastAsia="Calibri" w:hAnsi="Calibri"/>
          <w:sz w:val="13"/>
          <w:szCs w:val="13"/>
          <w:color w:val="auto"/>
        </w:rPr>
        <w:t>We have never declared or paid cash dividends on our common stock. We currently intend to retain all available funds and any future earnings to support operatons and to fnance the growth and development of our business. We do not intend to declare or pay any cash dividends on our capital stock in the foreseeable future. As a result, any investment return on our common stock will depend upon increases in the value of our common stock, which is not certain. There is no guarantee that our common stock will appreciate or even maintain the price at which investors have purchased it.</w:t>
      </w:r>
    </w:p>
    <w:p>
      <w:pPr>
        <w:spacing w:after="0" w:line="101" w:lineRule="exact"/>
        <w:rPr>
          <w:sz w:val="20"/>
          <w:szCs w:val="20"/>
          <w:color w:val="auto"/>
        </w:rPr>
      </w:pPr>
    </w:p>
    <w:p>
      <w:pPr>
        <w:jc w:val="center"/>
        <w:spacing w:after="0"/>
        <w:rPr>
          <w:sz w:val="20"/>
          <w:szCs w:val="20"/>
          <w:color w:val="auto"/>
        </w:rPr>
      </w:pPr>
      <w:r>
        <w:rPr>
          <w:rFonts w:ascii="Calibri" w:cs="Calibri" w:eastAsia="Calibri" w:hAnsi="Calibri"/>
          <w:sz w:val="14"/>
          <w:szCs w:val="14"/>
          <w:color w:val="auto"/>
        </w:rPr>
        <w:t>S-14</w:t>
      </w:r>
    </w:p>
    <w:p>
      <w:pPr>
        <w:sectPr>
          <w:pgSz w:w="11900" w:h="16838" w:orient="portrait"/>
          <w:cols w:equalWidth="0" w:num="1">
            <w:col w:w="9019"/>
          </w:cols>
          <w:pgMar w:left="1440" w:top="234" w:right="1440" w:bottom="1440" w:gutter="0" w:footer="0" w:header="0"/>
        </w:sectPr>
      </w:pPr>
    </w:p>
    <w:bookmarkStart w:id="16" w:name="page17"/>
    <w:bookmarkEnd w:id="16"/>
    <w:p>
      <w:pPr>
        <w:jc w:val="center"/>
        <w:ind w:right="19"/>
        <w:spacing w:after="0"/>
        <w:rPr>
          <w:sz w:val="20"/>
          <w:szCs w:val="20"/>
          <w:color w:val="auto"/>
        </w:rPr>
      </w:pPr>
      <w:r>
        <w:rPr>
          <w:rFonts w:ascii="Calibri" w:cs="Calibri" w:eastAsia="Calibri" w:hAnsi="Calibri"/>
          <w:sz w:val="14"/>
          <w:szCs w:val="14"/>
          <w:b w:val="1"/>
          <w:bCs w:val="1"/>
          <w:color w:val="auto"/>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01535" cy="33020"/>
                    </a:xfrm>
                    <a:prstGeom prst="rect">
                      <a:avLst/>
                    </a:prstGeom>
                    <a:noFill/>
                  </pic:spPr>
                </pic:pic>
              </a:graphicData>
            </a:graphic>
          </wp:anchor>
        </w:drawing>
        <w:t>DESCRIPTION OF PRE-FUNDED WARRANTS</w:t>
      </w:r>
    </w:p>
    <w:p>
      <w:pPr>
        <w:spacing w:after="0" w:line="169" w:lineRule="exact"/>
        <w:rPr>
          <w:sz w:val="20"/>
          <w:szCs w:val="20"/>
          <w:color w:val="auto"/>
        </w:rPr>
      </w:pPr>
    </w:p>
    <w:p>
      <w:pPr>
        <w:ind w:left="220" w:right="519"/>
        <w:spacing w:after="0" w:line="235" w:lineRule="auto"/>
        <w:rPr>
          <w:sz w:val="20"/>
          <w:szCs w:val="20"/>
          <w:color w:val="auto"/>
        </w:rPr>
      </w:pPr>
      <w:r>
        <w:rPr>
          <w:rFonts w:ascii="Calibri" w:cs="Calibri" w:eastAsia="Calibri" w:hAnsi="Calibri"/>
          <w:sz w:val="14"/>
          <w:szCs w:val="14"/>
          <w:color w:val="auto"/>
        </w:rPr>
        <w:t>The following is a brief summary of certain terms and conditons of the pre-funded warrants being ofered in this ofering. The following descripton is subject in all respects to the provisions contained in the pre-funded warrants.</w:t>
      </w:r>
    </w:p>
    <w:p>
      <w:pPr>
        <w:spacing w:after="0" w:line="250" w:lineRule="exact"/>
        <w:rPr>
          <w:sz w:val="20"/>
          <w:szCs w:val="20"/>
          <w:color w:val="auto"/>
        </w:rPr>
      </w:pPr>
    </w:p>
    <w:p>
      <w:pPr>
        <w:ind w:left="220"/>
        <w:spacing w:after="0"/>
        <w:rPr>
          <w:sz w:val="20"/>
          <w:szCs w:val="20"/>
          <w:color w:val="auto"/>
        </w:rPr>
      </w:pPr>
      <w:r>
        <w:rPr>
          <w:rFonts w:ascii="Calibri" w:cs="Calibri" w:eastAsia="Calibri" w:hAnsi="Calibri"/>
          <w:sz w:val="14"/>
          <w:szCs w:val="14"/>
          <w:b w:val="1"/>
          <w:bCs w:val="1"/>
          <w:color w:val="auto"/>
        </w:rPr>
        <w:t>Form</w:t>
      </w:r>
    </w:p>
    <w:p>
      <w:pPr>
        <w:spacing w:after="0" w:line="85" w:lineRule="exact"/>
        <w:rPr>
          <w:sz w:val="20"/>
          <w:szCs w:val="20"/>
          <w:color w:val="auto"/>
        </w:rPr>
      </w:pPr>
    </w:p>
    <w:p>
      <w:pPr>
        <w:ind w:left="220" w:right="619"/>
        <w:spacing w:after="0" w:line="235" w:lineRule="auto"/>
        <w:rPr>
          <w:sz w:val="20"/>
          <w:szCs w:val="20"/>
          <w:color w:val="auto"/>
        </w:rPr>
      </w:pPr>
      <w:r>
        <w:rPr>
          <w:rFonts w:ascii="Calibri" w:cs="Calibri" w:eastAsia="Calibri" w:hAnsi="Calibri"/>
          <w:sz w:val="14"/>
          <w:szCs w:val="14"/>
          <w:color w:val="auto"/>
        </w:rPr>
        <w:t>The pre-funded warrants will be issued as individual warrant agreements to investors. The form of pre-funded warrant will be fled as an exhibit to a Current Report on Form 8-K that we expect to fle with the SEC in connecton with this ofering.</w:t>
      </w:r>
    </w:p>
    <w:p>
      <w:pPr>
        <w:spacing w:after="0" w:line="250" w:lineRule="exact"/>
        <w:rPr>
          <w:sz w:val="20"/>
          <w:szCs w:val="20"/>
          <w:color w:val="auto"/>
        </w:rPr>
      </w:pPr>
    </w:p>
    <w:p>
      <w:pPr>
        <w:ind w:left="220"/>
        <w:spacing w:after="0"/>
        <w:rPr>
          <w:sz w:val="20"/>
          <w:szCs w:val="20"/>
          <w:color w:val="auto"/>
        </w:rPr>
      </w:pPr>
      <w:r>
        <w:rPr>
          <w:rFonts w:ascii="Calibri" w:cs="Calibri" w:eastAsia="Calibri" w:hAnsi="Calibri"/>
          <w:sz w:val="14"/>
          <w:szCs w:val="14"/>
          <w:b w:val="1"/>
          <w:bCs w:val="1"/>
          <w:color w:val="auto"/>
        </w:rPr>
        <w:t>Term</w:t>
      </w:r>
    </w:p>
    <w:p>
      <w:pPr>
        <w:spacing w:after="0" w:line="81" w:lineRule="exact"/>
        <w:rPr>
          <w:sz w:val="20"/>
          <w:szCs w:val="20"/>
          <w:color w:val="auto"/>
        </w:rPr>
      </w:pPr>
    </w:p>
    <w:p>
      <w:pPr>
        <w:ind w:left="220"/>
        <w:spacing w:after="0"/>
        <w:rPr>
          <w:sz w:val="20"/>
          <w:szCs w:val="20"/>
          <w:color w:val="auto"/>
        </w:rPr>
      </w:pPr>
      <w:r>
        <w:rPr>
          <w:rFonts w:ascii="Calibri" w:cs="Calibri" w:eastAsia="Calibri" w:hAnsi="Calibri"/>
          <w:sz w:val="14"/>
          <w:szCs w:val="14"/>
          <w:color w:val="auto"/>
        </w:rPr>
        <w:t>The pre-funded warrants do not expire.</w:t>
      </w:r>
    </w:p>
    <w:p>
      <w:pPr>
        <w:spacing w:after="0" w:line="249" w:lineRule="exact"/>
        <w:rPr>
          <w:sz w:val="20"/>
          <w:szCs w:val="20"/>
          <w:color w:val="auto"/>
        </w:rPr>
      </w:pPr>
    </w:p>
    <w:p>
      <w:pPr>
        <w:ind w:left="220"/>
        <w:spacing w:after="0"/>
        <w:rPr>
          <w:sz w:val="20"/>
          <w:szCs w:val="20"/>
          <w:color w:val="auto"/>
        </w:rPr>
      </w:pPr>
      <w:r>
        <w:rPr>
          <w:rFonts w:ascii="Calibri" w:cs="Calibri" w:eastAsia="Calibri" w:hAnsi="Calibri"/>
          <w:sz w:val="14"/>
          <w:szCs w:val="14"/>
          <w:b w:val="1"/>
          <w:bCs w:val="1"/>
          <w:color w:val="auto"/>
        </w:rPr>
        <w:t>Exercisability</w:t>
      </w:r>
    </w:p>
    <w:p>
      <w:pPr>
        <w:spacing w:after="0" w:line="85" w:lineRule="exact"/>
        <w:rPr>
          <w:sz w:val="20"/>
          <w:szCs w:val="20"/>
          <w:color w:val="auto"/>
        </w:rPr>
      </w:pPr>
    </w:p>
    <w:p>
      <w:pPr>
        <w:ind w:left="220" w:right="239"/>
        <w:spacing w:after="0" w:line="235" w:lineRule="auto"/>
        <w:rPr>
          <w:sz w:val="20"/>
          <w:szCs w:val="20"/>
          <w:color w:val="auto"/>
        </w:rPr>
      </w:pPr>
      <w:r>
        <w:rPr>
          <w:rFonts w:ascii="Calibri" w:cs="Calibri" w:eastAsia="Calibri" w:hAnsi="Calibri"/>
          <w:sz w:val="14"/>
          <w:szCs w:val="14"/>
          <w:color w:val="auto"/>
        </w:rPr>
        <w:t>The pre-funded warrants are exercisable at any tme on or afer their original issuance. The pre-funded warrants are exercisable, at the opton of each holder, in whole or in part by delivering to us a duly signed exercise notce and by payment in full in immediately available funds for the number of shares of common stock purchased upon such exercise. As an alternatve to payment in immediately available funds, the holder may, in its sole discreton, elect to exercise the pre-funded warrant through a cashless exercise, in which case the holder would receive upon such exercise the net number of shares of common stock determined according to the formula set forth in the pre-funded warrant. No fractonal shares of common stock will be issued in connecton with the exercise of a pre-funded warrant. In lieu of fractonal shares, we will pay the holder an amount in cash equal to the fractonal amount multplied by the fair market value of the common stock on the exercise date.</w:t>
      </w:r>
    </w:p>
    <w:p>
      <w:pPr>
        <w:spacing w:after="0" w:line="253" w:lineRule="exact"/>
        <w:rPr>
          <w:sz w:val="20"/>
          <w:szCs w:val="20"/>
          <w:color w:val="auto"/>
        </w:rPr>
      </w:pPr>
    </w:p>
    <w:p>
      <w:pPr>
        <w:ind w:left="220"/>
        <w:spacing w:after="0"/>
        <w:rPr>
          <w:sz w:val="20"/>
          <w:szCs w:val="20"/>
          <w:color w:val="auto"/>
        </w:rPr>
      </w:pPr>
      <w:r>
        <w:rPr>
          <w:rFonts w:ascii="Calibri" w:cs="Calibri" w:eastAsia="Calibri" w:hAnsi="Calibri"/>
          <w:sz w:val="14"/>
          <w:szCs w:val="14"/>
          <w:b w:val="1"/>
          <w:bCs w:val="1"/>
          <w:color w:val="auto"/>
        </w:rPr>
        <w:t>Exercise Limitatons</w:t>
      </w:r>
    </w:p>
    <w:p>
      <w:pPr>
        <w:spacing w:after="0" w:line="85" w:lineRule="exact"/>
        <w:rPr>
          <w:sz w:val="20"/>
          <w:szCs w:val="20"/>
          <w:color w:val="auto"/>
        </w:rPr>
      </w:pPr>
    </w:p>
    <w:p>
      <w:pPr>
        <w:ind w:left="220" w:right="339"/>
        <w:spacing w:after="0" w:line="235" w:lineRule="auto"/>
        <w:rPr>
          <w:sz w:val="20"/>
          <w:szCs w:val="20"/>
          <w:color w:val="auto"/>
        </w:rPr>
      </w:pPr>
      <w:r>
        <w:rPr>
          <w:rFonts w:ascii="Calibri" w:cs="Calibri" w:eastAsia="Calibri" w:hAnsi="Calibri"/>
          <w:sz w:val="14"/>
          <w:szCs w:val="14"/>
          <w:color w:val="auto"/>
        </w:rPr>
        <w:t>We may not efect the exercise of any pre-funded warrant, and a holder will not be enttled to exercise any porton of any pre-funded warrant that, upon giving efect to such exercise, would cause the aggregate number of shares of our common stock benefcially owned by the holder (together with its Atributon Partes (as defned below)) to exceed 4.99% or, at the electon of the holder prior to the issuance of such warrant, 9.99% of the number of shares of our common stock that would be issued and outstanding immediately afer such exercise. However, any holder of a pre-funded warrant may increase or decrease such percentage to any other percentage not in excess of 19.99% upon at least 61 days’ prior notce from the holder to us. For purposes of the foregoing, “Atributon Partes” means, collectvely, the following persons and enttes with respect to any holder: (i) any direct or indirect afliates of the holder, (ii) any person actng or who could be deemed to be actng as a Secton 13(d) “group” together with the holder or any Atributon Partes and (iii) any other persons whose benefcial ownership of our common stock would or could be aggregated with the holder and/or any other Atributon Partes for purposes of Secton 13(d) or Secton 16 of the Exchange Act.</w:t>
      </w:r>
    </w:p>
    <w:p>
      <w:pPr>
        <w:spacing w:after="0" w:line="255" w:lineRule="exact"/>
        <w:rPr>
          <w:sz w:val="20"/>
          <w:szCs w:val="20"/>
          <w:color w:val="auto"/>
        </w:rPr>
      </w:pPr>
    </w:p>
    <w:p>
      <w:pPr>
        <w:ind w:left="220"/>
        <w:spacing w:after="0"/>
        <w:rPr>
          <w:sz w:val="20"/>
          <w:szCs w:val="20"/>
          <w:color w:val="auto"/>
        </w:rPr>
      </w:pPr>
      <w:r>
        <w:rPr>
          <w:rFonts w:ascii="Calibri" w:cs="Calibri" w:eastAsia="Calibri" w:hAnsi="Calibri"/>
          <w:sz w:val="14"/>
          <w:szCs w:val="14"/>
          <w:b w:val="1"/>
          <w:bCs w:val="1"/>
          <w:color w:val="auto"/>
        </w:rPr>
        <w:t>Exercise Price</w:t>
      </w:r>
    </w:p>
    <w:p>
      <w:pPr>
        <w:spacing w:after="0" w:line="85" w:lineRule="exact"/>
        <w:rPr>
          <w:sz w:val="20"/>
          <w:szCs w:val="20"/>
          <w:color w:val="auto"/>
        </w:rPr>
      </w:pPr>
    </w:p>
    <w:p>
      <w:pPr>
        <w:ind w:left="220" w:right="259"/>
        <w:spacing w:after="0" w:line="235" w:lineRule="auto"/>
        <w:rPr>
          <w:sz w:val="20"/>
          <w:szCs w:val="20"/>
          <w:color w:val="auto"/>
        </w:rPr>
      </w:pPr>
      <w:r>
        <w:rPr>
          <w:rFonts w:ascii="Calibri" w:cs="Calibri" w:eastAsia="Calibri" w:hAnsi="Calibri"/>
          <w:sz w:val="14"/>
          <w:szCs w:val="14"/>
          <w:color w:val="auto"/>
        </w:rPr>
        <w:t>The exercise price per whole share of our common stock purchasable upon the exercise of the pre-funded warrants is $0.001 per share of common stock. The exercise price of the pre-funded warrants and the number of shares of our common stock issuable upon exercise of the pre-funded warrants is subject to appropriate adjustment in the event of certain stock dividends and distributons, stock splits, stock combinatons, reclassifcatons or similar events afectng our common stock.</w:t>
      </w:r>
    </w:p>
    <w:p>
      <w:pPr>
        <w:spacing w:after="0" w:line="114" w:lineRule="exact"/>
        <w:rPr>
          <w:sz w:val="20"/>
          <w:szCs w:val="20"/>
          <w:color w:val="auto"/>
        </w:rPr>
      </w:pPr>
    </w:p>
    <w:p>
      <w:pPr>
        <w:jc w:val="center"/>
        <w:ind w:right="19"/>
        <w:spacing w:after="0"/>
        <w:rPr>
          <w:sz w:val="20"/>
          <w:szCs w:val="20"/>
          <w:color w:val="auto"/>
        </w:rPr>
      </w:pPr>
      <w:r>
        <w:rPr>
          <w:rFonts w:ascii="Calibri" w:cs="Calibri" w:eastAsia="Calibri" w:hAnsi="Calibri"/>
          <w:sz w:val="14"/>
          <w:szCs w:val="14"/>
          <w:color w:val="auto"/>
        </w:rPr>
        <w:t>S-15</w:t>
      </w:r>
    </w:p>
    <w:p>
      <w:pPr>
        <w:sectPr>
          <w:pgSz w:w="11900" w:h="16838" w:orient="portrait"/>
          <w:cols w:equalWidth="0" w:num="1">
            <w:col w:w="9019"/>
          </w:cols>
          <w:pgMar w:left="1440" w:top="234" w:right="1440" w:bottom="1440" w:gutter="0" w:footer="0" w:header="0"/>
        </w:sectPr>
      </w:pPr>
    </w:p>
    <w:bookmarkStart w:id="17" w:name="page18"/>
    <w:bookmarkEnd w:id="17"/>
    <w:p>
      <w:pPr>
        <w:ind w:left="220"/>
        <w:spacing w:after="0"/>
        <w:rPr>
          <w:sz w:val="20"/>
          <w:szCs w:val="20"/>
          <w:color w:val="auto"/>
        </w:rPr>
      </w:pPr>
      <w:r>
        <w:rPr>
          <w:rFonts w:ascii="Calibri" w:cs="Calibri" w:eastAsia="Calibri" w:hAnsi="Calibri"/>
          <w:sz w:val="14"/>
          <w:szCs w:val="14"/>
          <w:b w:val="1"/>
          <w:bCs w:val="1"/>
          <w:color w:val="auto"/>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Transferability</w:t>
      </w:r>
    </w:p>
    <w:p>
      <w:pPr>
        <w:spacing w:after="0" w:line="85" w:lineRule="exact"/>
        <w:rPr>
          <w:sz w:val="20"/>
          <w:szCs w:val="20"/>
          <w:color w:val="auto"/>
        </w:rPr>
      </w:pPr>
    </w:p>
    <w:p>
      <w:pPr>
        <w:ind w:left="220" w:right="259"/>
        <w:spacing w:after="0" w:line="235" w:lineRule="auto"/>
        <w:rPr>
          <w:sz w:val="20"/>
          <w:szCs w:val="20"/>
          <w:color w:val="auto"/>
        </w:rPr>
      </w:pPr>
      <w:r>
        <w:rPr>
          <w:rFonts w:ascii="Calibri" w:cs="Calibri" w:eastAsia="Calibri" w:hAnsi="Calibri"/>
          <w:sz w:val="14"/>
          <w:szCs w:val="14"/>
          <w:color w:val="auto"/>
        </w:rPr>
        <w:t>Subject to applicable laws, the pre-funded warrants may be ofered for sale, sold, transferred or assigned without our consent. The ownership of the pre-funded warrants and any transfers of the pre-funded warrants will be registered in a warrant register maintained by the warrant agent. We will initally act as warrant agent.</w:t>
      </w:r>
    </w:p>
    <w:p>
      <w:pPr>
        <w:spacing w:after="0" w:line="250" w:lineRule="exact"/>
        <w:rPr>
          <w:sz w:val="20"/>
          <w:szCs w:val="20"/>
          <w:color w:val="auto"/>
        </w:rPr>
      </w:pPr>
    </w:p>
    <w:p>
      <w:pPr>
        <w:ind w:left="220"/>
        <w:spacing w:after="0"/>
        <w:rPr>
          <w:sz w:val="20"/>
          <w:szCs w:val="20"/>
          <w:color w:val="auto"/>
        </w:rPr>
      </w:pPr>
      <w:r>
        <w:rPr>
          <w:rFonts w:ascii="Calibri" w:cs="Calibri" w:eastAsia="Calibri" w:hAnsi="Calibri"/>
          <w:sz w:val="14"/>
          <w:szCs w:val="14"/>
          <w:b w:val="1"/>
          <w:bCs w:val="1"/>
          <w:color w:val="auto"/>
        </w:rPr>
        <w:t>Exchange Listng</w:t>
      </w:r>
    </w:p>
    <w:p>
      <w:pPr>
        <w:spacing w:after="0" w:line="85" w:lineRule="exact"/>
        <w:rPr>
          <w:sz w:val="20"/>
          <w:szCs w:val="20"/>
          <w:color w:val="auto"/>
        </w:rPr>
      </w:pPr>
    </w:p>
    <w:p>
      <w:pPr>
        <w:ind w:left="220" w:right="559"/>
        <w:spacing w:after="0" w:line="266" w:lineRule="auto"/>
        <w:rPr>
          <w:sz w:val="20"/>
          <w:szCs w:val="20"/>
          <w:color w:val="auto"/>
        </w:rPr>
      </w:pPr>
      <w:r>
        <w:rPr>
          <w:rFonts w:ascii="Calibri" w:cs="Calibri" w:eastAsia="Calibri" w:hAnsi="Calibri"/>
          <w:sz w:val="13"/>
          <w:szCs w:val="13"/>
          <w:color w:val="auto"/>
        </w:rPr>
        <w:t>There is no established trading market for the pre-funded warrants, and we do not expect a market to develop. We do not plan on applying to list the pre-funded warrants on the Nasdaq Global Select Market or any other natonal securites exchange or any natonally recognized trading system.</w:t>
      </w:r>
    </w:p>
    <w:p>
      <w:pPr>
        <w:spacing w:after="0" w:line="232" w:lineRule="exact"/>
        <w:rPr>
          <w:sz w:val="20"/>
          <w:szCs w:val="20"/>
          <w:color w:val="auto"/>
        </w:rPr>
      </w:pPr>
    </w:p>
    <w:p>
      <w:pPr>
        <w:ind w:left="220"/>
        <w:spacing w:after="0"/>
        <w:rPr>
          <w:sz w:val="20"/>
          <w:szCs w:val="20"/>
          <w:color w:val="auto"/>
        </w:rPr>
      </w:pPr>
      <w:r>
        <w:rPr>
          <w:rFonts w:ascii="Calibri" w:cs="Calibri" w:eastAsia="Calibri" w:hAnsi="Calibri"/>
          <w:sz w:val="14"/>
          <w:szCs w:val="14"/>
          <w:b w:val="1"/>
          <w:bCs w:val="1"/>
          <w:color w:val="auto"/>
        </w:rPr>
        <w:t>Fundamental Transactons</w:t>
      </w:r>
    </w:p>
    <w:p>
      <w:pPr>
        <w:spacing w:after="0" w:line="85" w:lineRule="exact"/>
        <w:rPr>
          <w:sz w:val="20"/>
          <w:szCs w:val="20"/>
          <w:color w:val="auto"/>
        </w:rPr>
      </w:pPr>
    </w:p>
    <w:p>
      <w:pPr>
        <w:ind w:left="220" w:right="239"/>
        <w:spacing w:after="0" w:line="235" w:lineRule="auto"/>
        <w:rPr>
          <w:sz w:val="20"/>
          <w:szCs w:val="20"/>
          <w:color w:val="auto"/>
        </w:rPr>
      </w:pPr>
      <w:r>
        <w:rPr>
          <w:rFonts w:ascii="Calibri" w:cs="Calibri" w:eastAsia="Calibri" w:hAnsi="Calibri"/>
          <w:sz w:val="14"/>
          <w:szCs w:val="14"/>
          <w:color w:val="auto"/>
        </w:rPr>
        <w:t>In the event of a fundamental transacton, as described in the pre-funded warrants and generally including any merger, consolidaton, reorganizaton, recapitalizaton or reclassifcaton of our common stock, the sale, or other dispositon of all or substantally all of our propertes or assets, our consolidaton or merger with or into another person, the acquisiton of more than 50% of the votng power of our capital stock, the holders of the pre-funded warrants will be enttled to receive upon exercise of the pre-funded warrants the same amount and kind of securites, cash or property that the holders would have received had they exercised the pre-funded warrants immediately prior to such fundamental transacton without regard to any limitatons on exercise contained in the pre-funded warrants.</w:t>
      </w:r>
    </w:p>
    <w:p>
      <w:pPr>
        <w:spacing w:after="0" w:line="252" w:lineRule="exact"/>
        <w:rPr>
          <w:sz w:val="20"/>
          <w:szCs w:val="20"/>
          <w:color w:val="auto"/>
        </w:rPr>
      </w:pPr>
    </w:p>
    <w:p>
      <w:pPr>
        <w:ind w:left="220"/>
        <w:spacing w:after="0"/>
        <w:rPr>
          <w:sz w:val="20"/>
          <w:szCs w:val="20"/>
          <w:color w:val="auto"/>
        </w:rPr>
      </w:pPr>
      <w:r>
        <w:rPr>
          <w:rFonts w:ascii="Calibri" w:cs="Calibri" w:eastAsia="Calibri" w:hAnsi="Calibri"/>
          <w:sz w:val="14"/>
          <w:szCs w:val="14"/>
          <w:b w:val="1"/>
          <w:bCs w:val="1"/>
          <w:color w:val="auto"/>
        </w:rPr>
        <w:t>Rights as a Stockholder</w:t>
      </w:r>
    </w:p>
    <w:p>
      <w:pPr>
        <w:spacing w:after="0" w:line="85" w:lineRule="exact"/>
        <w:rPr>
          <w:sz w:val="20"/>
          <w:szCs w:val="20"/>
          <w:color w:val="auto"/>
        </w:rPr>
      </w:pPr>
    </w:p>
    <w:p>
      <w:pPr>
        <w:jc w:val="both"/>
        <w:ind w:left="220" w:right="299"/>
        <w:spacing w:after="0" w:line="266" w:lineRule="auto"/>
        <w:rPr>
          <w:sz w:val="20"/>
          <w:szCs w:val="20"/>
          <w:color w:val="auto"/>
        </w:rPr>
      </w:pPr>
      <w:r>
        <w:rPr>
          <w:rFonts w:ascii="Calibri" w:cs="Calibri" w:eastAsia="Calibri" w:hAnsi="Calibri"/>
          <w:sz w:val="13"/>
          <w:szCs w:val="13"/>
          <w:color w:val="auto"/>
        </w:rPr>
        <w:t>Except by virtue of such holder’s ownership of shares of our common stock, the holder of a pre-funded warrant does not have the rights or privileges of a holder of our common stock, including any votng rights, untl the holder exercises the pre-funded warrant, except for the right to partcipate in dividends.</w:t>
      </w:r>
    </w:p>
    <w:p>
      <w:pPr>
        <w:spacing w:after="0" w:line="96" w:lineRule="exact"/>
        <w:rPr>
          <w:sz w:val="20"/>
          <w:szCs w:val="20"/>
          <w:color w:val="auto"/>
        </w:rPr>
      </w:pPr>
    </w:p>
    <w:p>
      <w:pPr>
        <w:jc w:val="center"/>
        <w:ind w:right="19"/>
        <w:spacing w:after="0"/>
        <w:rPr>
          <w:sz w:val="20"/>
          <w:szCs w:val="20"/>
          <w:color w:val="auto"/>
        </w:rPr>
      </w:pPr>
      <w:r>
        <w:rPr>
          <w:rFonts w:ascii="Calibri" w:cs="Calibri" w:eastAsia="Calibri" w:hAnsi="Calibri"/>
          <w:sz w:val="14"/>
          <w:szCs w:val="14"/>
          <w:color w:val="auto"/>
        </w:rPr>
        <w:t>S-16</w:t>
      </w:r>
    </w:p>
    <w:p>
      <w:pPr>
        <w:sectPr>
          <w:pgSz w:w="11900" w:h="16838" w:orient="portrait"/>
          <w:cols w:equalWidth="0" w:num="1">
            <w:col w:w="9019"/>
          </w:cols>
          <w:pgMar w:left="1440" w:top="234" w:right="1440" w:bottom="1440" w:gutter="0" w:footer="0" w:header="0"/>
        </w:sectPr>
      </w:pPr>
    </w:p>
    <w:bookmarkStart w:id="18" w:name="page19"/>
    <w:bookmarkEnd w:id="18"/>
    <w:p>
      <w:pPr>
        <w:jc w:val="center"/>
        <w:ind w:right="19"/>
        <w:spacing w:after="0"/>
        <w:rPr>
          <w:sz w:val="20"/>
          <w:szCs w:val="20"/>
          <w:color w:val="auto"/>
        </w:rPr>
      </w:pPr>
      <w:r>
        <w:rPr>
          <w:rFonts w:ascii="Calibri" w:cs="Calibri" w:eastAsia="Calibri" w:hAnsi="Calibri"/>
          <w:sz w:val="14"/>
          <w:szCs w:val="14"/>
          <w:b w:val="1"/>
          <w:bCs w:val="1"/>
          <w:color w:val="auto"/>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01535" cy="33020"/>
                    </a:xfrm>
                    <a:prstGeom prst="rect">
                      <a:avLst/>
                    </a:prstGeom>
                    <a:noFill/>
                  </pic:spPr>
                </pic:pic>
              </a:graphicData>
            </a:graphic>
          </wp:anchor>
        </w:drawing>
        <w:t>USE OF PROCEEDS</w:t>
      </w:r>
    </w:p>
    <w:p>
      <w:pPr>
        <w:spacing w:after="0" w:line="169" w:lineRule="exact"/>
        <w:rPr>
          <w:sz w:val="20"/>
          <w:szCs w:val="20"/>
          <w:color w:val="auto"/>
        </w:rPr>
      </w:pPr>
    </w:p>
    <w:p>
      <w:pPr>
        <w:jc w:val="both"/>
        <w:ind w:left="220" w:right="639"/>
        <w:spacing w:after="0" w:line="235" w:lineRule="auto"/>
        <w:rPr>
          <w:sz w:val="20"/>
          <w:szCs w:val="20"/>
          <w:color w:val="auto"/>
        </w:rPr>
      </w:pPr>
      <w:r>
        <w:rPr>
          <w:rFonts w:ascii="Calibri" w:cs="Calibri" w:eastAsia="Calibri" w:hAnsi="Calibri"/>
          <w:sz w:val="14"/>
          <w:szCs w:val="14"/>
          <w:color w:val="auto"/>
        </w:rPr>
        <w:t>We estmate that the net proceeds to us from this ofering will be approximately $376.0 million, or approximately $432.4 million if the underwriters exercise their opton to purchase additonal shares in full, afer deductng underwritng discounts and commissions and estmated ofering expenses payable by us. We will receive nominal proceeds, if any, from any exercise of pre-funded warrants.</w:t>
      </w:r>
    </w:p>
    <w:p>
      <w:pPr>
        <w:spacing w:after="0" w:line="170" w:lineRule="exact"/>
        <w:rPr>
          <w:sz w:val="20"/>
          <w:szCs w:val="20"/>
          <w:color w:val="auto"/>
        </w:rPr>
      </w:pPr>
    </w:p>
    <w:p>
      <w:pPr>
        <w:jc w:val="both"/>
        <w:ind w:left="220" w:right="679"/>
        <w:spacing w:after="0" w:line="235" w:lineRule="auto"/>
        <w:rPr>
          <w:sz w:val="20"/>
          <w:szCs w:val="20"/>
          <w:color w:val="auto"/>
        </w:rPr>
      </w:pPr>
      <w:r>
        <w:rPr>
          <w:rFonts w:ascii="Calibri" w:cs="Calibri" w:eastAsia="Calibri" w:hAnsi="Calibri"/>
          <w:sz w:val="14"/>
          <w:szCs w:val="14"/>
          <w:color w:val="auto"/>
        </w:rPr>
        <w:t>We currently intend to use the net proceeds from this ofering, together with our existng cash, cash equivalents and marketable securites, to fund ongoing research and development actvites, including the advancement of ELVN-001 in ongoing and planned clinical trials across multple lines of therapy, and inital commercial readiness actvites, and for working capital and other general corporate purposes.</w:t>
      </w:r>
    </w:p>
    <w:p>
      <w:pPr>
        <w:spacing w:after="0" w:line="170" w:lineRule="exact"/>
        <w:rPr>
          <w:sz w:val="20"/>
          <w:szCs w:val="20"/>
          <w:color w:val="auto"/>
        </w:rPr>
      </w:pPr>
    </w:p>
    <w:p>
      <w:pPr>
        <w:ind w:left="220" w:right="239"/>
        <w:spacing w:after="0" w:line="235" w:lineRule="auto"/>
        <w:rPr>
          <w:sz w:val="20"/>
          <w:szCs w:val="20"/>
          <w:color w:val="auto"/>
        </w:rPr>
      </w:pPr>
      <w:r>
        <w:rPr>
          <w:rFonts w:ascii="Calibri" w:cs="Calibri" w:eastAsia="Calibri" w:hAnsi="Calibri"/>
          <w:sz w:val="14"/>
          <w:szCs w:val="14"/>
          <w:color w:val="auto"/>
        </w:rPr>
        <w:t>Our expected use of proceeds from this ofering represents our current intentons based on our present plans and business conditon. As of the date of this prospectus supplement, we cannot predict with certainty all of the partcular uses for the proceeds to be received upon the completon of this ofering or the actual amounts that we will spend on the uses set forth above. We may also use a porton of the proceeds to in-license, acquire or invest in additonal businesses, technologies, products or assets. Although we have no specifc agreements, commitments or understandings with respect to any in-licensing actvity or acquisiton, we evaluate these opportunites and engage in related discussions with other companies from tme to tme.</w:t>
      </w:r>
    </w:p>
    <w:p>
      <w:pPr>
        <w:spacing w:after="0" w:line="172" w:lineRule="exact"/>
        <w:rPr>
          <w:sz w:val="20"/>
          <w:szCs w:val="20"/>
          <w:color w:val="auto"/>
        </w:rPr>
      </w:pPr>
    </w:p>
    <w:p>
      <w:pPr>
        <w:ind w:left="220" w:right="339"/>
        <w:spacing w:after="0" w:line="235" w:lineRule="auto"/>
        <w:rPr>
          <w:sz w:val="20"/>
          <w:szCs w:val="20"/>
          <w:color w:val="auto"/>
        </w:rPr>
      </w:pPr>
      <w:r>
        <w:rPr>
          <w:rFonts w:ascii="Calibri" w:cs="Calibri" w:eastAsia="Calibri" w:hAnsi="Calibri"/>
          <w:sz w:val="14"/>
          <w:szCs w:val="14"/>
          <w:color w:val="auto"/>
        </w:rPr>
        <w:t>The net proceeds from this ofering, together with our existng cash, cash equivalents and marketable securites, may not be sufcient for us to fund our clinical and preclinical programs, and we may need to raise additonal capital to achieve our business objectves. Based on the planned use of proceeds described above, we believe that the net proceeds from this ofering, together with our current cash, cash equivalents and marketable securites, will be sufcient to enable us to fund our operatng expenses and capital expenditure requirements into 2030. We have based this estmate on assumptons that may prove to be incorrect, and we could use our available capital resources sooner than we currently expect.</w:t>
      </w:r>
    </w:p>
    <w:p>
      <w:pPr>
        <w:spacing w:after="0" w:line="172" w:lineRule="exact"/>
        <w:rPr>
          <w:sz w:val="20"/>
          <w:szCs w:val="20"/>
          <w:color w:val="auto"/>
        </w:rPr>
      </w:pPr>
    </w:p>
    <w:p>
      <w:pPr>
        <w:ind w:left="220" w:right="359"/>
        <w:spacing w:after="0" w:line="235" w:lineRule="auto"/>
        <w:rPr>
          <w:sz w:val="20"/>
          <w:szCs w:val="20"/>
          <w:color w:val="auto"/>
        </w:rPr>
      </w:pPr>
      <w:r>
        <w:rPr>
          <w:rFonts w:ascii="Calibri" w:cs="Calibri" w:eastAsia="Calibri" w:hAnsi="Calibri"/>
          <w:sz w:val="14"/>
          <w:szCs w:val="14"/>
          <w:color w:val="auto"/>
        </w:rPr>
        <w:t>The amount and tming of our actual expenditures will depend on numerous factors, including the results of our research and development eforts, the tming and outcome of any ongoing or future preclinical studies and clinical trials, the tming and outcome of regulatory submissions and any unforeseen cash needs. As a result, our management will have broad discreton over the use of the proceeds from this ofering.</w:t>
      </w:r>
    </w:p>
    <w:p>
      <w:pPr>
        <w:spacing w:after="0" w:line="170" w:lineRule="exact"/>
        <w:rPr>
          <w:sz w:val="20"/>
          <w:szCs w:val="20"/>
          <w:color w:val="auto"/>
        </w:rPr>
      </w:pPr>
    </w:p>
    <w:p>
      <w:pPr>
        <w:ind w:left="220" w:right="439"/>
        <w:spacing w:after="0" w:line="235" w:lineRule="auto"/>
        <w:rPr>
          <w:sz w:val="20"/>
          <w:szCs w:val="20"/>
          <w:color w:val="auto"/>
        </w:rPr>
      </w:pPr>
      <w:r>
        <w:rPr>
          <w:rFonts w:ascii="Calibri" w:cs="Calibri" w:eastAsia="Calibri" w:hAnsi="Calibri"/>
          <w:sz w:val="14"/>
          <w:szCs w:val="14"/>
          <w:color w:val="auto"/>
        </w:rPr>
        <w:t>Pending our use of the net proceeds from this ofering, we intend to invest the net proceeds in short- to intermediate-term, investment grade, interest-bearing instruments.</w:t>
      </w:r>
    </w:p>
    <w:p>
      <w:pPr>
        <w:spacing w:after="0" w:line="113" w:lineRule="exact"/>
        <w:rPr>
          <w:sz w:val="20"/>
          <w:szCs w:val="20"/>
          <w:color w:val="auto"/>
        </w:rPr>
      </w:pPr>
    </w:p>
    <w:p>
      <w:pPr>
        <w:jc w:val="center"/>
        <w:ind w:right="19"/>
        <w:spacing w:after="0"/>
        <w:rPr>
          <w:sz w:val="20"/>
          <w:szCs w:val="20"/>
          <w:color w:val="auto"/>
        </w:rPr>
      </w:pPr>
      <w:r>
        <w:rPr>
          <w:rFonts w:ascii="Calibri" w:cs="Calibri" w:eastAsia="Calibri" w:hAnsi="Calibri"/>
          <w:sz w:val="14"/>
          <w:szCs w:val="14"/>
          <w:color w:val="auto"/>
        </w:rPr>
        <w:t>S-17</w:t>
      </w:r>
    </w:p>
    <w:p>
      <w:pPr>
        <w:sectPr>
          <w:pgSz w:w="11900" w:h="16838" w:orient="portrait"/>
          <w:cols w:equalWidth="0" w:num="1">
            <w:col w:w="9019"/>
          </w:cols>
          <w:pgMar w:left="1440" w:top="234" w:right="1440" w:bottom="1440" w:gutter="0" w:footer="0" w:header="0"/>
        </w:sectPr>
      </w:pPr>
    </w:p>
    <w:bookmarkStart w:id="19" w:name="page20"/>
    <w:bookmarkEnd w:id="19"/>
    <w:p>
      <w:pPr>
        <w:jc w:val="center"/>
        <w:spacing w:after="0"/>
        <w:rPr>
          <w:sz w:val="20"/>
          <w:szCs w:val="20"/>
          <w:color w:val="auto"/>
        </w:rPr>
      </w:pPr>
      <w:r>
        <w:rPr>
          <w:rFonts w:ascii="Calibri" w:cs="Calibri" w:eastAsia="Calibri" w:hAnsi="Calibri"/>
          <w:sz w:val="14"/>
          <w:szCs w:val="14"/>
          <w:b w:val="1"/>
          <w:bCs w:val="1"/>
          <w:color w:val="auto"/>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01535" cy="32385"/>
                    </a:xfrm>
                    <a:prstGeom prst="rect">
                      <a:avLst/>
                    </a:prstGeom>
                    <a:noFill/>
                  </pic:spPr>
                </pic:pic>
              </a:graphicData>
            </a:graphic>
          </wp:anchor>
        </w:drawing>
        <w:t>DIVIDEND POLICY</w:t>
      </w:r>
    </w:p>
    <w:p>
      <w:pPr>
        <w:spacing w:after="0" w:line="169" w:lineRule="exact"/>
        <w:rPr>
          <w:sz w:val="20"/>
          <w:szCs w:val="20"/>
          <w:color w:val="auto"/>
        </w:rPr>
      </w:pPr>
    </w:p>
    <w:p>
      <w:pPr>
        <w:ind w:left="220" w:right="259"/>
        <w:spacing w:after="0" w:line="235" w:lineRule="auto"/>
        <w:rPr>
          <w:sz w:val="20"/>
          <w:szCs w:val="20"/>
          <w:color w:val="auto"/>
        </w:rPr>
      </w:pPr>
      <w:r>
        <w:rPr>
          <w:rFonts w:ascii="Calibri" w:cs="Calibri" w:eastAsia="Calibri" w:hAnsi="Calibri"/>
          <w:sz w:val="14"/>
          <w:szCs w:val="14"/>
          <w:color w:val="auto"/>
        </w:rPr>
        <w:t>We have never declared or paid cash dividends on our common stock. We currently intend to retain all of our future earnings, if any, to fnance the growth and development of our business. We do not intend to pay cash dividends to holders of our common stock in the foreseeable future. Payment of future cash dividends, if any, will be at the discreton of our board of directors afer taking into account various factors, including our fnancial conditon, operatng results, current and antcipated cash needs, the requirements and contractual restrictons of then-existng debt instruments, and other factors that our board of directors deems relevant.</w:t>
      </w:r>
    </w:p>
    <w:p>
      <w:pPr>
        <w:spacing w:after="0" w:line="115" w:lineRule="exact"/>
        <w:rPr>
          <w:sz w:val="20"/>
          <w:szCs w:val="20"/>
          <w:color w:val="auto"/>
        </w:rPr>
      </w:pPr>
    </w:p>
    <w:p>
      <w:pPr>
        <w:jc w:val="center"/>
        <w:spacing w:after="0"/>
        <w:rPr>
          <w:sz w:val="20"/>
          <w:szCs w:val="20"/>
          <w:color w:val="auto"/>
        </w:rPr>
      </w:pPr>
      <w:r>
        <w:rPr>
          <w:rFonts w:ascii="Calibri" w:cs="Calibri" w:eastAsia="Calibri" w:hAnsi="Calibri"/>
          <w:sz w:val="14"/>
          <w:szCs w:val="14"/>
          <w:color w:val="auto"/>
        </w:rPr>
        <w:t>S-18</w:t>
      </w:r>
    </w:p>
    <w:p>
      <w:pPr>
        <w:sectPr>
          <w:pgSz w:w="11900" w:h="16838" w:orient="portrait"/>
          <w:cols w:equalWidth="0" w:num="1">
            <w:col w:w="9019"/>
          </w:cols>
          <w:pgMar w:left="1440" w:top="234" w:right="1440" w:bottom="1440" w:gutter="0" w:footer="0" w:header="0"/>
        </w:sectPr>
      </w:pPr>
    </w:p>
    <w:bookmarkStart w:id="20" w:name="page21"/>
    <w:bookmarkEnd w:id="20"/>
    <w:p>
      <w:pPr>
        <w:jc w:val="center"/>
        <w:spacing w:after="0"/>
        <w:rPr>
          <w:sz w:val="20"/>
          <w:szCs w:val="20"/>
          <w:color w:val="auto"/>
        </w:rPr>
      </w:pPr>
      <w:r>
        <w:rPr>
          <w:rFonts w:ascii="Calibri" w:cs="Calibri" w:eastAsia="Calibri" w:hAnsi="Calibri"/>
          <w:sz w:val="14"/>
          <w:szCs w:val="14"/>
          <w:b w:val="1"/>
          <w:bCs w:val="1"/>
          <w:color w:val="auto"/>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01535" cy="33020"/>
                    </a:xfrm>
                    <a:prstGeom prst="rect">
                      <a:avLst/>
                    </a:prstGeom>
                    <a:noFill/>
                  </pic:spPr>
                </pic:pic>
              </a:graphicData>
            </a:graphic>
          </wp:anchor>
        </w:drawing>
        <w:t>DILUTION</w:t>
      </w:r>
    </w:p>
    <w:p>
      <w:pPr>
        <w:spacing w:after="0" w:line="169" w:lineRule="exact"/>
        <w:rPr>
          <w:sz w:val="20"/>
          <w:szCs w:val="20"/>
          <w:color w:val="auto"/>
        </w:rPr>
      </w:pPr>
    </w:p>
    <w:p>
      <w:pPr>
        <w:ind w:left="220" w:right="239"/>
        <w:spacing w:after="0" w:line="235" w:lineRule="auto"/>
        <w:rPr>
          <w:sz w:val="20"/>
          <w:szCs w:val="20"/>
          <w:color w:val="auto"/>
        </w:rPr>
      </w:pPr>
      <w:r>
        <w:rPr>
          <w:rFonts w:ascii="Calibri" w:cs="Calibri" w:eastAsia="Calibri" w:hAnsi="Calibri"/>
          <w:sz w:val="14"/>
          <w:szCs w:val="14"/>
          <w:color w:val="auto"/>
        </w:rPr>
        <w:t>If you invest in our common stock or pre-funded warrants in this ofering, your ownership interest will be diluted to the extent of the diference between the public ofering price per share of our common stock or pre-funded warrant and the as adjusted net tangible book value per share of our common stock afer this ofering.</w:t>
      </w:r>
    </w:p>
    <w:p>
      <w:pPr>
        <w:spacing w:after="0" w:line="170" w:lineRule="exact"/>
        <w:rPr>
          <w:sz w:val="20"/>
          <w:szCs w:val="20"/>
          <w:color w:val="auto"/>
        </w:rPr>
      </w:pPr>
    </w:p>
    <w:p>
      <w:pPr>
        <w:jc w:val="both"/>
        <w:ind w:left="220" w:right="299"/>
        <w:spacing w:after="0" w:line="235" w:lineRule="auto"/>
        <w:rPr>
          <w:sz w:val="20"/>
          <w:szCs w:val="20"/>
          <w:color w:val="auto"/>
        </w:rPr>
      </w:pPr>
      <w:r>
        <w:rPr>
          <w:rFonts w:ascii="Calibri" w:cs="Calibri" w:eastAsia="Calibri" w:hAnsi="Calibri"/>
          <w:sz w:val="14"/>
          <w:szCs w:val="14"/>
          <w:color w:val="auto"/>
        </w:rPr>
        <w:t>Our historical net tangible book value as of March 31, 2026 was approximately $453.4 million, or $7.45 per share of common stock. Historical net tangible book value per share is determined by dividing our total tangible assets, less total liabilites, by the number of shares of our common stock outstanding as of March 31, 2026.</w:t>
      </w:r>
    </w:p>
    <w:p>
      <w:pPr>
        <w:spacing w:after="0" w:line="170" w:lineRule="exact"/>
        <w:rPr>
          <w:sz w:val="20"/>
          <w:szCs w:val="20"/>
          <w:color w:val="auto"/>
        </w:rPr>
      </w:pPr>
    </w:p>
    <w:p>
      <w:pPr>
        <w:ind w:left="220" w:right="279"/>
        <w:spacing w:after="0" w:line="235" w:lineRule="auto"/>
        <w:rPr>
          <w:sz w:val="20"/>
          <w:szCs w:val="20"/>
          <w:color w:val="auto"/>
        </w:rPr>
      </w:pPr>
      <w:r>
        <w:rPr>
          <w:rFonts w:ascii="Calibri" w:cs="Calibri" w:eastAsia="Calibri" w:hAnsi="Calibri"/>
          <w:sz w:val="14"/>
          <w:szCs w:val="14"/>
          <w:color w:val="auto"/>
        </w:rPr>
        <w:t>Without taking into account any other changes in our historical net tangible book value afer March 31, 2026, other than to give efect to the issuance and sale of 8,933,334 shares of our common stock in this ofering at the public ofering price of $37.50 per share, and pre-funded warrants to purchase 1,733,333 shares of common stock at the public ofering price of $37.499 per pre-funded warrant (which equals the public ofering price of the common stock at which shares of our common stock are being sold to the public in this ofering less the $0.001 per share exercise price of each such pre-funded warrant) (which assumes the exercise of the pre-funded warrants and the issuance of shares of common stock issuable upon exercise of the pre-funded warrants, any proceeds which may be received upon exercise of the pre-funded warrants or any resultng accountng associated with the exercise of the pre-funded warrants), and afer deductng underwritng discounts and commissions and estmated ofering expenses payable by us, our as adjusted net tangible book value as of March 31, 2026 would have been $829.4 million, or $11.59 per share. This represents an immediate increase of $4.14 in as adjusted net tangible book value per share to existng stockholders and immediate diluton of $25.91 in as adjusted net tangible book value per share to investors partcipatng in this ofering. Diluton per share to investors purchasing shares of our common stock or pre-funded warrants in this ofering is determined by subtractng as adjusted net tangible book value per share afer this ofering from the public ofering price per share paid by investors purchasing shares of our common stock or pre-funded warrants in this ofering.</w:t>
      </w:r>
    </w:p>
    <w:p>
      <w:pPr>
        <w:spacing w:after="0" w:line="173" w:lineRule="exact"/>
        <w:rPr>
          <w:sz w:val="20"/>
          <w:szCs w:val="20"/>
          <w:color w:val="auto"/>
        </w:rPr>
      </w:pPr>
    </w:p>
    <w:p>
      <w:pPr>
        <w:ind w:left="220"/>
        <w:spacing w:after="0"/>
        <w:rPr>
          <w:sz w:val="20"/>
          <w:szCs w:val="20"/>
          <w:color w:val="auto"/>
        </w:rPr>
      </w:pPr>
      <w:r>
        <w:rPr>
          <w:rFonts w:ascii="Calibri" w:cs="Calibri" w:eastAsia="Calibri" w:hAnsi="Calibri"/>
          <w:sz w:val="14"/>
          <w:szCs w:val="14"/>
          <w:color w:val="auto"/>
        </w:rPr>
        <w:t>The following table illustrates this diluton on a per share basis:</w:t>
      </w:r>
    </w:p>
    <w:p>
      <w:pPr>
        <w:spacing w:after="0" w:line="206" w:lineRule="exact"/>
        <w:rPr>
          <w:sz w:val="20"/>
          <w:szCs w:val="20"/>
          <w:color w:val="auto"/>
        </w:rPr>
      </w:pPr>
    </w:p>
    <w:tbl>
      <w:tblPr>
        <w:tblLayout w:type="fixed"/>
        <w:tblInd w:w="1240" w:type="dxa"/>
        <w:tblCellMar>
          <w:top w:w="0" w:type="dxa"/>
          <w:left w:w="0" w:type="dxa"/>
          <w:bottom w:w="0" w:type="dxa"/>
          <w:right w:w="0" w:type="dxa"/>
        </w:tblCellMar>
      </w:tblPr>
      <w:tr>
        <w:trPr>
          <w:trHeight w:val="159"/>
        </w:trPr>
        <w:tc>
          <w:tcPr>
            <w:tcW w:w="5180" w:type="dxa"/>
            <w:vAlign w:val="bottom"/>
            <w:shd w:val="clear" w:color="auto" w:fill="CCEEFF"/>
          </w:tcPr>
          <w:p>
            <w:pPr>
              <w:spacing w:after="0"/>
              <w:rPr>
                <w:sz w:val="20"/>
                <w:szCs w:val="20"/>
                <w:color w:val="auto"/>
              </w:rPr>
            </w:pPr>
            <w:r>
              <w:rPr>
                <w:rFonts w:ascii="Calibri" w:cs="Calibri" w:eastAsia="Calibri" w:hAnsi="Calibri"/>
                <w:sz w:val="13"/>
                <w:szCs w:val="13"/>
                <w:color w:val="auto"/>
              </w:rPr>
              <w:t>Public ofering price per share</w:t>
            </w:r>
          </w:p>
        </w:tc>
        <w:tc>
          <w:tcPr>
            <w:tcW w:w="1340" w:type="dxa"/>
            <w:vAlign w:val="bottom"/>
            <w:gridSpan w:val="5"/>
            <w:shd w:val="clear" w:color="auto" w:fill="CCEEFF"/>
          </w:tcPr>
          <w:p>
            <w:pPr>
              <w:jc w:val="right"/>
              <w:ind w:right="40"/>
              <w:spacing w:after="0"/>
              <w:rPr>
                <w:sz w:val="20"/>
                <w:szCs w:val="20"/>
                <w:color w:val="auto"/>
              </w:rPr>
            </w:pPr>
            <w:r>
              <w:rPr>
                <w:rFonts w:ascii="Calibri" w:cs="Calibri" w:eastAsia="Calibri" w:hAnsi="Calibri"/>
                <w:sz w:val="13"/>
                <w:szCs w:val="13"/>
                <w:color w:val="auto"/>
              </w:rPr>
              <w:t>$ 37.50</w:t>
            </w:r>
          </w:p>
        </w:tc>
      </w:tr>
      <w:tr>
        <w:trPr>
          <w:trHeight w:val="153"/>
        </w:trPr>
        <w:tc>
          <w:tcPr>
            <w:tcW w:w="5180" w:type="dxa"/>
            <w:vAlign w:val="bottom"/>
          </w:tcPr>
          <w:p>
            <w:pPr>
              <w:ind w:left="260"/>
              <w:spacing w:after="0" w:line="149" w:lineRule="exact"/>
              <w:rPr>
                <w:sz w:val="20"/>
                <w:szCs w:val="20"/>
                <w:color w:val="auto"/>
              </w:rPr>
            </w:pPr>
            <w:r>
              <w:rPr>
                <w:rFonts w:ascii="Calibri" w:cs="Calibri" w:eastAsia="Calibri" w:hAnsi="Calibri"/>
                <w:sz w:val="13"/>
                <w:szCs w:val="13"/>
                <w:color w:val="auto"/>
              </w:rPr>
              <w:t>Net tangible book value per share as of March 31, 2026</w:t>
            </w:r>
          </w:p>
        </w:tc>
        <w:tc>
          <w:tcPr>
            <w:tcW w:w="940" w:type="dxa"/>
            <w:vAlign w:val="bottom"/>
            <w:gridSpan w:val="3"/>
          </w:tcPr>
          <w:p>
            <w:pPr>
              <w:jc w:val="right"/>
              <w:ind w:right="297"/>
              <w:spacing w:after="0" w:line="149" w:lineRule="exact"/>
              <w:rPr>
                <w:sz w:val="20"/>
                <w:szCs w:val="20"/>
                <w:color w:val="auto"/>
              </w:rPr>
            </w:pPr>
            <w:r>
              <w:rPr>
                <w:rFonts w:ascii="Calibri" w:cs="Calibri" w:eastAsia="Calibri" w:hAnsi="Calibri"/>
                <w:sz w:val="13"/>
                <w:szCs w:val="13"/>
                <w:color w:val="auto"/>
              </w:rPr>
              <w:t>$ 7.45</w:t>
            </w:r>
          </w:p>
        </w:tc>
        <w:tc>
          <w:tcPr>
            <w:tcW w:w="360" w:type="dxa"/>
            <w:vAlign w:val="bottom"/>
          </w:tcPr>
          <w:p>
            <w:pPr>
              <w:spacing w:after="0"/>
              <w:rPr>
                <w:sz w:val="13"/>
                <w:szCs w:val="13"/>
                <w:color w:val="auto"/>
              </w:rPr>
            </w:pPr>
          </w:p>
        </w:tc>
        <w:tc>
          <w:tcPr>
            <w:tcW w:w="40" w:type="dxa"/>
            <w:vAlign w:val="bottom"/>
          </w:tcPr>
          <w:p>
            <w:pPr>
              <w:spacing w:after="0"/>
              <w:rPr>
                <w:sz w:val="13"/>
                <w:szCs w:val="13"/>
                <w:color w:val="auto"/>
              </w:rPr>
            </w:pPr>
          </w:p>
        </w:tc>
      </w:tr>
      <w:tr>
        <w:trPr>
          <w:trHeight w:val="149"/>
        </w:trPr>
        <w:tc>
          <w:tcPr>
            <w:tcW w:w="5180" w:type="dxa"/>
            <w:vAlign w:val="bottom"/>
            <w:shd w:val="clear" w:color="auto" w:fill="CCEEFF"/>
          </w:tcPr>
          <w:p>
            <w:pPr>
              <w:ind w:left="260"/>
              <w:spacing w:after="0" w:line="149" w:lineRule="exact"/>
              <w:rPr>
                <w:sz w:val="20"/>
                <w:szCs w:val="20"/>
                <w:color w:val="auto"/>
              </w:rPr>
            </w:pPr>
            <w:r>
              <w:rPr>
                <w:rFonts w:ascii="Calibri" w:cs="Calibri" w:eastAsia="Calibri" w:hAnsi="Calibri"/>
                <w:sz w:val="13"/>
                <w:szCs w:val="13"/>
                <w:color w:val="auto"/>
              </w:rPr>
              <w:t>Increase in net tangible book value per share atributable to investors purchasing shares of</w:t>
            </w:r>
          </w:p>
        </w:tc>
        <w:tc>
          <w:tcPr>
            <w:tcW w:w="2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r>
      <w:tr>
        <w:trPr>
          <w:trHeight w:val="171"/>
        </w:trPr>
        <w:tc>
          <w:tcPr>
            <w:tcW w:w="5180" w:type="dxa"/>
            <w:vAlign w:val="bottom"/>
            <w:tcBorders>
              <w:bottom w:val="single" w:sz="8" w:color="CCEEFF"/>
            </w:tcBorders>
            <w:shd w:val="clear" w:color="auto" w:fill="CCEEFF"/>
          </w:tcPr>
          <w:p>
            <w:pPr>
              <w:ind w:left="380"/>
              <w:spacing w:after="0" w:line="149" w:lineRule="exact"/>
              <w:rPr>
                <w:sz w:val="20"/>
                <w:szCs w:val="20"/>
                <w:color w:val="auto"/>
              </w:rPr>
            </w:pPr>
            <w:r>
              <w:rPr>
                <w:rFonts w:ascii="Calibri" w:cs="Calibri" w:eastAsia="Calibri" w:hAnsi="Calibri"/>
                <w:sz w:val="13"/>
                <w:szCs w:val="13"/>
                <w:color w:val="auto"/>
              </w:rPr>
              <w:t>common stock and pre-funded warrants in this ofering</w:t>
            </w:r>
          </w:p>
        </w:tc>
        <w:tc>
          <w:tcPr>
            <w:tcW w:w="940" w:type="dxa"/>
            <w:vAlign w:val="bottom"/>
            <w:tcBorders>
              <w:bottom w:val="single" w:sz="8" w:color="CCEEFF"/>
            </w:tcBorders>
            <w:gridSpan w:val="3"/>
            <w:shd w:val="clear" w:color="auto" w:fill="CCEEFF"/>
          </w:tcPr>
          <w:p>
            <w:pPr>
              <w:jc w:val="right"/>
              <w:ind w:right="297"/>
              <w:spacing w:after="0" w:line="149" w:lineRule="exact"/>
              <w:rPr>
                <w:sz w:val="20"/>
                <w:szCs w:val="20"/>
                <w:color w:val="auto"/>
              </w:rPr>
            </w:pPr>
            <w:r>
              <w:rPr>
                <w:rFonts w:ascii="Calibri" w:cs="Calibri" w:eastAsia="Calibri" w:hAnsi="Calibri"/>
                <w:sz w:val="13"/>
                <w:szCs w:val="13"/>
                <w:color w:val="auto"/>
              </w:rPr>
              <w:t>$ 4.14</w:t>
            </w:r>
          </w:p>
        </w:tc>
        <w:tc>
          <w:tcPr>
            <w:tcW w:w="360" w:type="dxa"/>
            <w:vAlign w:val="bottom"/>
            <w:tcBorders>
              <w:bottom w:val="single" w:sz="8" w:color="CCEEFF"/>
            </w:tcBorders>
            <w:shd w:val="clear" w:color="auto" w:fill="CCEEFF"/>
          </w:tcPr>
          <w:p>
            <w:pPr>
              <w:spacing w:after="0"/>
              <w:rPr>
                <w:sz w:val="14"/>
                <w:szCs w:val="14"/>
                <w:color w:val="auto"/>
              </w:rPr>
            </w:pPr>
          </w:p>
        </w:tc>
        <w:tc>
          <w:tcPr>
            <w:tcW w:w="40" w:type="dxa"/>
            <w:vAlign w:val="bottom"/>
            <w:tcBorders>
              <w:bottom w:val="single" w:sz="8" w:color="CCEEFF"/>
            </w:tcBorders>
            <w:shd w:val="clear" w:color="auto" w:fill="CCEEFF"/>
          </w:tcPr>
          <w:p>
            <w:pPr>
              <w:spacing w:after="0"/>
              <w:rPr>
                <w:sz w:val="14"/>
                <w:szCs w:val="14"/>
                <w:color w:val="auto"/>
              </w:rPr>
            </w:pPr>
          </w:p>
        </w:tc>
      </w:tr>
      <w:tr>
        <w:trPr>
          <w:trHeight w:val="136"/>
        </w:trPr>
        <w:tc>
          <w:tcPr>
            <w:tcW w:w="5180" w:type="dxa"/>
            <w:vAlign w:val="bottom"/>
          </w:tcPr>
          <w:p>
            <w:pPr>
              <w:spacing w:after="0" w:line="136" w:lineRule="exact"/>
              <w:rPr>
                <w:sz w:val="20"/>
                <w:szCs w:val="20"/>
                <w:color w:val="auto"/>
              </w:rPr>
            </w:pPr>
            <w:r>
              <w:rPr>
                <w:rFonts w:ascii="Calibri" w:cs="Calibri" w:eastAsia="Calibri" w:hAnsi="Calibri"/>
                <w:sz w:val="13"/>
                <w:szCs w:val="13"/>
                <w:color w:val="auto"/>
              </w:rPr>
              <w:t>As adjusted net tangible book value per share afer giving efect to this ofering</w:t>
            </w:r>
          </w:p>
        </w:tc>
        <w:tc>
          <w:tcPr>
            <w:tcW w:w="280" w:type="dxa"/>
            <w:vAlign w:val="bottom"/>
          </w:tcPr>
          <w:p>
            <w:pPr>
              <w:spacing w:after="0"/>
              <w:rPr>
                <w:sz w:val="11"/>
                <w:szCs w:val="11"/>
                <w:color w:val="auto"/>
              </w:rPr>
            </w:pPr>
          </w:p>
        </w:tc>
        <w:tc>
          <w:tcPr>
            <w:tcW w:w="300" w:type="dxa"/>
            <w:vAlign w:val="bottom"/>
            <w:tcBorders>
              <w:top w:val="single" w:sz="8" w:color="auto"/>
            </w:tcBorders>
          </w:tcPr>
          <w:p>
            <w:pPr>
              <w:spacing w:after="0"/>
              <w:rPr>
                <w:sz w:val="11"/>
                <w:szCs w:val="11"/>
                <w:color w:val="auto"/>
              </w:rPr>
            </w:pPr>
          </w:p>
        </w:tc>
        <w:tc>
          <w:tcPr>
            <w:tcW w:w="760" w:type="dxa"/>
            <w:vAlign w:val="bottom"/>
            <w:gridSpan w:val="3"/>
          </w:tcPr>
          <w:p>
            <w:pPr>
              <w:jc w:val="right"/>
              <w:ind w:right="40"/>
              <w:spacing w:after="0" w:line="136" w:lineRule="exact"/>
              <w:rPr>
                <w:sz w:val="20"/>
                <w:szCs w:val="20"/>
                <w:color w:val="auto"/>
              </w:rPr>
            </w:pPr>
            <w:r>
              <w:rPr>
                <w:rFonts w:ascii="Calibri" w:cs="Calibri" w:eastAsia="Calibri" w:hAnsi="Calibri"/>
                <w:sz w:val="13"/>
                <w:szCs w:val="13"/>
                <w:color w:val="auto"/>
              </w:rPr>
              <w:t>$ 11.59</w:t>
            </w:r>
          </w:p>
        </w:tc>
      </w:tr>
      <w:tr>
        <w:trPr>
          <w:trHeight w:val="24"/>
        </w:trPr>
        <w:tc>
          <w:tcPr>
            <w:tcW w:w="5180" w:type="dxa"/>
            <w:vAlign w:val="bottom"/>
          </w:tcPr>
          <w:p>
            <w:pPr>
              <w:spacing w:after="0"/>
              <w:rPr>
                <w:sz w:val="2"/>
                <w:szCs w:val="2"/>
                <w:color w:val="auto"/>
              </w:rPr>
            </w:pPr>
          </w:p>
        </w:tc>
        <w:tc>
          <w:tcPr>
            <w:tcW w:w="280" w:type="dxa"/>
            <w:vAlign w:val="bottom"/>
          </w:tcPr>
          <w:p>
            <w:pPr>
              <w:spacing w:after="0"/>
              <w:rPr>
                <w:sz w:val="2"/>
                <w:szCs w:val="2"/>
                <w:color w:val="auto"/>
              </w:rPr>
            </w:pPr>
          </w:p>
        </w:tc>
        <w:tc>
          <w:tcPr>
            <w:tcW w:w="300" w:type="dxa"/>
            <w:vAlign w:val="bottom"/>
          </w:tcPr>
          <w:p>
            <w:pPr>
              <w:spacing w:after="0"/>
              <w:rPr>
                <w:sz w:val="2"/>
                <w:szCs w:val="2"/>
                <w:color w:val="auto"/>
              </w:rPr>
            </w:pPr>
          </w:p>
        </w:tc>
        <w:tc>
          <w:tcPr>
            <w:tcW w:w="36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r>
      <w:tr>
        <w:trPr>
          <w:trHeight w:val="158"/>
        </w:trPr>
        <w:tc>
          <w:tcPr>
            <w:tcW w:w="5180" w:type="dxa"/>
            <w:vAlign w:val="bottom"/>
            <w:shd w:val="clear" w:color="auto" w:fill="CCEEFF"/>
          </w:tcPr>
          <w:p>
            <w:pPr>
              <w:spacing w:after="0" w:line="149" w:lineRule="exact"/>
              <w:rPr>
                <w:sz w:val="20"/>
                <w:szCs w:val="20"/>
                <w:color w:val="auto"/>
              </w:rPr>
            </w:pPr>
            <w:r>
              <w:rPr>
                <w:rFonts w:ascii="Calibri" w:cs="Calibri" w:eastAsia="Calibri" w:hAnsi="Calibri"/>
                <w:sz w:val="13"/>
                <w:szCs w:val="13"/>
                <w:color w:val="auto"/>
              </w:rPr>
              <w:t>Diluton per share to new investors partcipatng in this ofering</w:t>
            </w:r>
          </w:p>
        </w:tc>
        <w:tc>
          <w:tcPr>
            <w:tcW w:w="1340" w:type="dxa"/>
            <w:vAlign w:val="bottom"/>
            <w:gridSpan w:val="5"/>
            <w:shd w:val="clear" w:color="auto" w:fill="CCEEFF"/>
          </w:tcPr>
          <w:p>
            <w:pPr>
              <w:jc w:val="right"/>
              <w:ind w:right="40"/>
              <w:spacing w:after="0" w:line="149" w:lineRule="exact"/>
              <w:rPr>
                <w:sz w:val="20"/>
                <w:szCs w:val="20"/>
                <w:color w:val="auto"/>
              </w:rPr>
            </w:pPr>
            <w:r>
              <w:rPr>
                <w:rFonts w:ascii="Calibri" w:cs="Calibri" w:eastAsia="Calibri" w:hAnsi="Calibri"/>
                <w:sz w:val="13"/>
                <w:szCs w:val="13"/>
                <w:color w:val="auto"/>
              </w:rPr>
              <w:t>$ 25.91</w:t>
            </w:r>
          </w:p>
        </w:tc>
      </w:tr>
      <w:tr>
        <w:trPr>
          <w:trHeight w:val="20"/>
        </w:trPr>
        <w:tc>
          <w:tcPr>
            <w:tcW w:w="51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161" w:lineRule="exact"/>
        <w:rPr>
          <w:sz w:val="20"/>
          <w:szCs w:val="20"/>
          <w:color w:val="auto"/>
        </w:rPr>
      </w:pPr>
    </w:p>
    <w:p>
      <w:pPr>
        <w:ind w:left="220" w:right="539"/>
        <w:spacing w:after="0" w:line="235" w:lineRule="auto"/>
        <w:rPr>
          <w:sz w:val="20"/>
          <w:szCs w:val="20"/>
          <w:color w:val="auto"/>
        </w:rPr>
      </w:pPr>
      <w:r>
        <w:rPr>
          <w:rFonts w:ascii="Calibri" w:cs="Calibri" w:eastAsia="Calibri" w:hAnsi="Calibri"/>
          <w:sz w:val="14"/>
          <w:szCs w:val="14"/>
          <w:color w:val="auto"/>
        </w:rPr>
        <w:t>If the underwriters exercise their opton to purchase additonal shares in full, the diluton in as adjusted net tangible book value per share to investors partcipatng in this ofering would be $25.39 per share.</w:t>
      </w:r>
    </w:p>
    <w:p>
      <w:pPr>
        <w:spacing w:after="0" w:line="169" w:lineRule="exact"/>
        <w:rPr>
          <w:sz w:val="20"/>
          <w:szCs w:val="20"/>
          <w:color w:val="auto"/>
        </w:rPr>
      </w:pPr>
    </w:p>
    <w:p>
      <w:pPr>
        <w:ind w:left="220" w:right="339"/>
        <w:spacing w:after="0" w:line="235" w:lineRule="auto"/>
        <w:rPr>
          <w:sz w:val="20"/>
          <w:szCs w:val="20"/>
          <w:color w:val="auto"/>
        </w:rPr>
      </w:pPr>
      <w:r>
        <w:rPr>
          <w:rFonts w:ascii="Calibri" w:cs="Calibri" w:eastAsia="Calibri" w:hAnsi="Calibri"/>
          <w:sz w:val="14"/>
          <w:szCs w:val="14"/>
          <w:color w:val="auto"/>
        </w:rPr>
        <w:t>The foregoing table and calculatons (other than the historical net tangible book value calculatons) are based on 60,889,655 shares of our common stock outstanding as of March 31, 2026, and exclude as of such date:</w:t>
      </w:r>
    </w:p>
    <w:p>
      <w:pPr>
        <w:spacing w:after="0" w:line="96" w:lineRule="exact"/>
        <w:rPr>
          <w:sz w:val="20"/>
          <w:szCs w:val="20"/>
          <w:color w:val="auto"/>
        </w:rPr>
      </w:pPr>
    </w:p>
    <w:p>
      <w:pPr>
        <w:ind w:left="980" w:right="639" w:hanging="341"/>
        <w:spacing w:after="0" w:line="235" w:lineRule="auto"/>
        <w:tabs>
          <w:tab w:leader="none" w:pos="980" w:val="left"/>
        </w:tabs>
        <w:numPr>
          <w:ilvl w:val="0"/>
          <w:numId w:val="12"/>
        </w:numPr>
        <w:rPr>
          <w:rFonts w:ascii="Calibri" w:cs="Calibri" w:eastAsia="Calibri" w:hAnsi="Calibri"/>
          <w:sz w:val="14"/>
          <w:szCs w:val="14"/>
          <w:color w:val="auto"/>
        </w:rPr>
      </w:pPr>
      <w:r>
        <w:rPr>
          <w:rFonts w:ascii="Calibri" w:cs="Calibri" w:eastAsia="Calibri" w:hAnsi="Calibri"/>
          <w:sz w:val="14"/>
          <w:szCs w:val="14"/>
          <w:color w:val="auto"/>
        </w:rPr>
        <w:t>9,691,203 shares of our common stock issuable upon the exercise of optons outstanding as of March 31, 2026, at a weighted-average exercise price of $19.40 per share;</w:t>
      </w:r>
    </w:p>
    <w:p>
      <w:pPr>
        <w:spacing w:after="0" w:line="113" w:lineRule="exact"/>
        <w:rPr>
          <w:sz w:val="20"/>
          <w:szCs w:val="20"/>
          <w:color w:val="auto"/>
        </w:rPr>
      </w:pPr>
    </w:p>
    <w:p>
      <w:pPr>
        <w:jc w:val="center"/>
        <w:spacing w:after="0"/>
        <w:rPr>
          <w:sz w:val="20"/>
          <w:szCs w:val="20"/>
          <w:color w:val="auto"/>
        </w:rPr>
      </w:pPr>
      <w:r>
        <w:rPr>
          <w:rFonts w:ascii="Calibri" w:cs="Calibri" w:eastAsia="Calibri" w:hAnsi="Calibri"/>
          <w:sz w:val="14"/>
          <w:szCs w:val="14"/>
          <w:color w:val="auto"/>
        </w:rPr>
        <w:t>S-19</w:t>
      </w:r>
    </w:p>
    <w:p>
      <w:pPr>
        <w:sectPr>
          <w:pgSz w:w="11900" w:h="16838" w:orient="portrait"/>
          <w:cols w:equalWidth="0" w:num="1">
            <w:col w:w="9019"/>
          </w:cols>
          <w:pgMar w:left="1440" w:top="234" w:right="1440" w:bottom="1440" w:gutter="0" w:footer="0" w:header="0"/>
        </w:sectPr>
      </w:pPr>
    </w:p>
    <w:bookmarkStart w:id="21" w:name="page22"/>
    <w:bookmarkEnd w:id="21"/>
    <w:p>
      <w:pPr>
        <w:ind w:left="980" w:right="499" w:hanging="341"/>
        <w:spacing w:after="0" w:line="235" w:lineRule="auto"/>
        <w:tabs>
          <w:tab w:leader="none" w:pos="980" w:val="left"/>
        </w:tabs>
        <w:numPr>
          <w:ilvl w:val="0"/>
          <w:numId w:val="13"/>
        </w:numPr>
        <w:rPr>
          <w:rFonts w:ascii="Calibri" w:cs="Calibri" w:eastAsia="Calibri" w:hAnsi="Calibri"/>
          <w:sz w:val="14"/>
          <w:szCs w:val="14"/>
          <w:color w:val="auto"/>
        </w:rPr>
      </w:pPr>
      <w:r>
        <w:rPr>
          <w:rFonts w:ascii="Calibri" w:cs="Calibri" w:eastAsia="Calibri" w:hAnsi="Calibri"/>
          <w:sz w:val="14"/>
          <w:szCs w:val="14"/>
          <w:color w:val="auto"/>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01535" cy="33020"/>
                    </a:xfrm>
                    <a:prstGeom prst="rect">
                      <a:avLst/>
                    </a:prstGeom>
                    <a:noFill/>
                  </pic:spPr>
                </pic:pic>
              </a:graphicData>
            </a:graphic>
          </wp:anchor>
        </w:drawing>
        <w:t>365,087 shares of our common stock issuable upon the exercise of optons granted afer March 31, 2026, at a weighted-average exercise price of $38.16 per share;</w:t>
      </w:r>
    </w:p>
    <w:p>
      <w:pPr>
        <w:spacing w:after="0" w:line="92" w:lineRule="exact"/>
        <w:rPr>
          <w:rFonts w:ascii="Calibri" w:cs="Calibri" w:eastAsia="Calibri" w:hAnsi="Calibri"/>
          <w:sz w:val="14"/>
          <w:szCs w:val="14"/>
          <w:color w:val="auto"/>
        </w:rPr>
      </w:pPr>
    </w:p>
    <w:p>
      <w:pPr>
        <w:ind w:left="980" w:hanging="341"/>
        <w:spacing w:after="0"/>
        <w:tabs>
          <w:tab w:leader="none" w:pos="980" w:val="left"/>
        </w:tabs>
        <w:numPr>
          <w:ilvl w:val="0"/>
          <w:numId w:val="13"/>
        </w:numPr>
        <w:rPr>
          <w:rFonts w:ascii="Calibri" w:cs="Calibri" w:eastAsia="Calibri" w:hAnsi="Calibri"/>
          <w:sz w:val="14"/>
          <w:szCs w:val="14"/>
          <w:color w:val="auto"/>
        </w:rPr>
      </w:pPr>
      <w:r>
        <w:rPr>
          <w:rFonts w:ascii="Calibri" w:cs="Calibri" w:eastAsia="Calibri" w:hAnsi="Calibri"/>
          <w:sz w:val="14"/>
          <w:szCs w:val="14"/>
          <w:color w:val="auto"/>
        </w:rPr>
        <w:t>323,008 shares of common stock issuable upon the vestng and setlement of restricted stock units outstanding as of March 31, 2026;</w:t>
      </w:r>
    </w:p>
    <w:p>
      <w:pPr>
        <w:spacing w:after="0" w:line="91" w:lineRule="exact"/>
        <w:rPr>
          <w:rFonts w:ascii="Calibri" w:cs="Calibri" w:eastAsia="Calibri" w:hAnsi="Calibri"/>
          <w:sz w:val="14"/>
          <w:szCs w:val="14"/>
          <w:color w:val="auto"/>
        </w:rPr>
      </w:pPr>
    </w:p>
    <w:p>
      <w:pPr>
        <w:ind w:left="980" w:hanging="341"/>
        <w:spacing w:after="0"/>
        <w:tabs>
          <w:tab w:leader="none" w:pos="980" w:val="left"/>
        </w:tabs>
        <w:numPr>
          <w:ilvl w:val="0"/>
          <w:numId w:val="13"/>
        </w:numPr>
        <w:rPr>
          <w:rFonts w:ascii="Calibri" w:cs="Calibri" w:eastAsia="Calibri" w:hAnsi="Calibri"/>
          <w:sz w:val="14"/>
          <w:szCs w:val="14"/>
          <w:color w:val="auto"/>
        </w:rPr>
      </w:pPr>
      <w:r>
        <w:rPr>
          <w:rFonts w:ascii="Calibri" w:cs="Calibri" w:eastAsia="Calibri" w:hAnsi="Calibri"/>
          <w:sz w:val="14"/>
          <w:szCs w:val="14"/>
          <w:color w:val="auto"/>
        </w:rPr>
        <w:t>67,085 shares of common stock issuable upon the vestng and setlement of restricted stock units that were granted afer March 31, 2026;</w:t>
      </w:r>
    </w:p>
    <w:p>
      <w:pPr>
        <w:spacing w:after="0" w:line="91" w:lineRule="exact"/>
        <w:rPr>
          <w:rFonts w:ascii="Calibri" w:cs="Calibri" w:eastAsia="Calibri" w:hAnsi="Calibri"/>
          <w:sz w:val="14"/>
          <w:szCs w:val="14"/>
          <w:color w:val="auto"/>
        </w:rPr>
      </w:pPr>
    </w:p>
    <w:p>
      <w:pPr>
        <w:ind w:left="980" w:hanging="341"/>
        <w:spacing w:after="0"/>
        <w:tabs>
          <w:tab w:leader="none" w:pos="980" w:val="left"/>
        </w:tabs>
        <w:numPr>
          <w:ilvl w:val="0"/>
          <w:numId w:val="13"/>
        </w:numPr>
        <w:rPr>
          <w:rFonts w:ascii="Calibri" w:cs="Calibri" w:eastAsia="Calibri" w:hAnsi="Calibri"/>
          <w:sz w:val="14"/>
          <w:szCs w:val="14"/>
          <w:color w:val="auto"/>
        </w:rPr>
      </w:pPr>
      <w:r>
        <w:rPr>
          <w:rFonts w:ascii="Calibri" w:cs="Calibri" w:eastAsia="Calibri" w:hAnsi="Calibri"/>
          <w:sz w:val="14"/>
          <w:szCs w:val="14"/>
          <w:color w:val="auto"/>
        </w:rPr>
        <w:t>5,175,085 shares of our common stock reserved for issuance pursuant to future awards under our 2020 Plan as of March 31, 2026;</w:t>
      </w:r>
    </w:p>
    <w:p>
      <w:pPr>
        <w:spacing w:after="0" w:line="91" w:lineRule="exact"/>
        <w:rPr>
          <w:rFonts w:ascii="Calibri" w:cs="Calibri" w:eastAsia="Calibri" w:hAnsi="Calibri"/>
          <w:sz w:val="14"/>
          <w:szCs w:val="14"/>
          <w:color w:val="auto"/>
        </w:rPr>
      </w:pPr>
    </w:p>
    <w:p>
      <w:pPr>
        <w:ind w:left="980" w:hanging="341"/>
        <w:spacing w:after="0"/>
        <w:tabs>
          <w:tab w:leader="none" w:pos="980" w:val="left"/>
        </w:tabs>
        <w:numPr>
          <w:ilvl w:val="0"/>
          <w:numId w:val="13"/>
        </w:numPr>
        <w:rPr>
          <w:rFonts w:ascii="Calibri" w:cs="Calibri" w:eastAsia="Calibri" w:hAnsi="Calibri"/>
          <w:sz w:val="14"/>
          <w:szCs w:val="14"/>
          <w:color w:val="auto"/>
        </w:rPr>
      </w:pPr>
      <w:r>
        <w:rPr>
          <w:rFonts w:ascii="Calibri" w:cs="Calibri" w:eastAsia="Calibri" w:hAnsi="Calibri"/>
          <w:sz w:val="14"/>
          <w:szCs w:val="14"/>
          <w:color w:val="auto"/>
        </w:rPr>
        <w:t>723,754 shares of our common stock reserved for future issuance under our ESPP as of March 31, 2026; and</w:t>
      </w:r>
    </w:p>
    <w:p>
      <w:pPr>
        <w:spacing w:after="0" w:line="95" w:lineRule="exact"/>
        <w:rPr>
          <w:rFonts w:ascii="Calibri" w:cs="Calibri" w:eastAsia="Calibri" w:hAnsi="Calibri"/>
          <w:sz w:val="14"/>
          <w:szCs w:val="14"/>
          <w:color w:val="auto"/>
        </w:rPr>
      </w:pPr>
    </w:p>
    <w:p>
      <w:pPr>
        <w:ind w:left="980" w:right="479" w:hanging="341"/>
        <w:spacing w:after="0" w:line="235" w:lineRule="auto"/>
        <w:tabs>
          <w:tab w:leader="none" w:pos="980" w:val="left"/>
        </w:tabs>
        <w:numPr>
          <w:ilvl w:val="0"/>
          <w:numId w:val="13"/>
        </w:numPr>
        <w:rPr>
          <w:rFonts w:ascii="Calibri" w:cs="Calibri" w:eastAsia="Calibri" w:hAnsi="Calibri"/>
          <w:sz w:val="14"/>
          <w:szCs w:val="14"/>
          <w:color w:val="auto"/>
        </w:rPr>
      </w:pPr>
      <w:r>
        <w:rPr>
          <w:rFonts w:ascii="Calibri" w:cs="Calibri" w:eastAsia="Calibri" w:hAnsi="Calibri"/>
          <w:sz w:val="14"/>
          <w:szCs w:val="14"/>
          <w:color w:val="auto"/>
        </w:rPr>
        <w:t>2,851,768 shares of common stock issuable upon the exercise of pre-funded warrants outstanding as of March 31, 2026, with an exercise price of $0.001 per share.</w:t>
      </w:r>
    </w:p>
    <w:p>
      <w:pPr>
        <w:spacing w:after="0" w:line="169" w:lineRule="exact"/>
        <w:rPr>
          <w:sz w:val="20"/>
          <w:szCs w:val="20"/>
          <w:color w:val="auto"/>
        </w:rPr>
      </w:pPr>
    </w:p>
    <w:p>
      <w:pPr>
        <w:ind w:left="220" w:right="239"/>
        <w:spacing w:after="0" w:line="260" w:lineRule="auto"/>
        <w:rPr>
          <w:sz w:val="20"/>
          <w:szCs w:val="20"/>
          <w:color w:val="auto"/>
        </w:rPr>
      </w:pPr>
      <w:r>
        <w:rPr>
          <w:rFonts w:ascii="Calibri" w:cs="Calibri" w:eastAsia="Calibri" w:hAnsi="Calibri"/>
          <w:sz w:val="13"/>
          <w:szCs w:val="13"/>
          <w:color w:val="auto"/>
        </w:rPr>
        <w:t>In additon, the number of shares outstanding immediately afer this ofering does not include shares of common stock that we may ofer and sell in the future pursuant to the Sales Agreement. Afer expiraton or waiver of the applicable lock-up period applicable to us and described under the secton of this prospectus supplement ttled “Underwritng,” we may ofer and sell shares of our common stock having an aggregate ofering price of up to $200.0 million.</w:t>
      </w:r>
    </w:p>
    <w:p>
      <w:pPr>
        <w:spacing w:after="0" w:line="156" w:lineRule="exact"/>
        <w:rPr>
          <w:sz w:val="20"/>
          <w:szCs w:val="20"/>
          <w:color w:val="auto"/>
        </w:rPr>
      </w:pPr>
    </w:p>
    <w:p>
      <w:pPr>
        <w:ind w:left="220" w:right="279"/>
        <w:spacing w:after="0" w:line="235" w:lineRule="auto"/>
        <w:rPr>
          <w:sz w:val="20"/>
          <w:szCs w:val="20"/>
          <w:color w:val="auto"/>
        </w:rPr>
      </w:pPr>
      <w:r>
        <w:rPr>
          <w:rFonts w:ascii="Calibri" w:cs="Calibri" w:eastAsia="Calibri" w:hAnsi="Calibri"/>
          <w:sz w:val="14"/>
          <w:szCs w:val="14"/>
          <w:color w:val="auto"/>
        </w:rPr>
        <w:t>If any additonal shares are issued, including in connecton with the exercise of optons, the vestng and setlement of restricted stock units, the exercise of outstanding pre-funded warrants or if the underwriters exercise their opton to purchase additonal shares of our common stock, you may experience further diluton.</w:t>
      </w:r>
    </w:p>
    <w:p>
      <w:pPr>
        <w:spacing w:after="0" w:line="170" w:lineRule="exact"/>
        <w:rPr>
          <w:sz w:val="20"/>
          <w:szCs w:val="20"/>
          <w:color w:val="auto"/>
        </w:rPr>
      </w:pPr>
    </w:p>
    <w:p>
      <w:pPr>
        <w:ind w:left="220" w:right="619"/>
        <w:spacing w:after="0" w:line="235" w:lineRule="auto"/>
        <w:rPr>
          <w:sz w:val="20"/>
          <w:szCs w:val="20"/>
          <w:color w:val="auto"/>
        </w:rPr>
      </w:pPr>
      <w:r>
        <w:rPr>
          <w:rFonts w:ascii="Calibri" w:cs="Calibri" w:eastAsia="Calibri" w:hAnsi="Calibri"/>
          <w:sz w:val="14"/>
          <w:szCs w:val="14"/>
          <w:color w:val="auto"/>
        </w:rPr>
        <w:t>The as adjusted informaton discussed above will be based on the number of shares, the ofering price and other terms determined at pricing of this ofering.</w:t>
      </w:r>
    </w:p>
    <w:p>
      <w:pPr>
        <w:spacing w:after="0" w:line="113" w:lineRule="exact"/>
        <w:rPr>
          <w:sz w:val="20"/>
          <w:szCs w:val="20"/>
          <w:color w:val="auto"/>
        </w:rPr>
      </w:pPr>
    </w:p>
    <w:p>
      <w:pPr>
        <w:jc w:val="center"/>
        <w:ind w:right="19"/>
        <w:spacing w:after="0"/>
        <w:rPr>
          <w:sz w:val="20"/>
          <w:szCs w:val="20"/>
          <w:color w:val="auto"/>
        </w:rPr>
      </w:pPr>
      <w:r>
        <w:rPr>
          <w:rFonts w:ascii="Calibri" w:cs="Calibri" w:eastAsia="Calibri" w:hAnsi="Calibri"/>
          <w:sz w:val="14"/>
          <w:szCs w:val="14"/>
          <w:color w:val="auto"/>
        </w:rPr>
        <w:t>S-20</w:t>
      </w:r>
    </w:p>
    <w:p>
      <w:pPr>
        <w:sectPr>
          <w:pgSz w:w="11900" w:h="16838" w:orient="portrait"/>
          <w:cols w:equalWidth="0" w:num="1">
            <w:col w:w="9019"/>
          </w:cols>
          <w:pgMar w:left="1440" w:top="238" w:right="1440" w:bottom="1440" w:gutter="0" w:footer="0" w:header="0"/>
        </w:sectPr>
      </w:pPr>
    </w:p>
    <w:bookmarkStart w:id="22" w:name="page23"/>
    <w:bookmarkEnd w:id="22"/>
    <w:p>
      <w:pPr>
        <w:jc w:val="center"/>
        <w:spacing w:after="0"/>
        <w:rPr>
          <w:sz w:val="20"/>
          <w:szCs w:val="20"/>
          <w:color w:val="auto"/>
        </w:rPr>
      </w:pPr>
      <w:r>
        <w:rPr>
          <w:rFonts w:ascii="Calibri" w:cs="Calibri" w:eastAsia="Calibri" w:hAnsi="Calibri"/>
          <w:sz w:val="14"/>
          <w:szCs w:val="14"/>
          <w:b w:val="1"/>
          <w:bCs w:val="1"/>
          <w:color w:val="auto"/>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01535" cy="32385"/>
                    </a:xfrm>
                    <a:prstGeom prst="rect">
                      <a:avLst/>
                    </a:prstGeom>
                    <a:noFill/>
                  </pic:spPr>
                </pic:pic>
              </a:graphicData>
            </a:graphic>
          </wp:anchor>
        </w:drawing>
        <w:t>MATERIAL U.S. FEDERAL INCOME TAX CONSEQUENCES</w:t>
      </w:r>
    </w:p>
    <w:p>
      <w:pPr>
        <w:spacing w:after="0" w:line="169" w:lineRule="exact"/>
        <w:rPr>
          <w:sz w:val="20"/>
          <w:szCs w:val="20"/>
          <w:color w:val="auto"/>
        </w:rPr>
      </w:pPr>
    </w:p>
    <w:p>
      <w:pPr>
        <w:ind w:left="220" w:right="239"/>
        <w:spacing w:after="0" w:line="235" w:lineRule="auto"/>
        <w:rPr>
          <w:sz w:val="20"/>
          <w:szCs w:val="20"/>
          <w:color w:val="auto"/>
        </w:rPr>
      </w:pPr>
      <w:r>
        <w:rPr>
          <w:rFonts w:ascii="Calibri" w:cs="Calibri" w:eastAsia="Calibri" w:hAnsi="Calibri"/>
          <w:sz w:val="14"/>
          <w:szCs w:val="14"/>
          <w:color w:val="auto"/>
        </w:rPr>
        <w:t>The following is a summary of material U.S. federal income tax consequences of the ownership and dispositon of our common stock and pre-funded warrants acquired in this ofering, but does not purport to be a complete analysis of all the potental tax consideratons relatng thereto. This summary is based upon the provisions of the United States Internal Revenue Code of 1986, as amended, or the Code, Treasury regulatons promulgated thereunder, published rulings and administratve pronouncements of the Internal Revenue Service, or IRS, and judicial decisions, all as of the date hereof. These authorites may be changed, possibly retroactvely, so as to result in U.S. federal income tax consequences diferent from those set forth below. We have not sought, and do not intend to seek, any ruling from the IRS with respect to the statements made and the conclusions reached in the following summary, and there can be no assurance that the IRS or a court will agree with such statements and conclusions.</w:t>
      </w:r>
    </w:p>
    <w:p>
      <w:pPr>
        <w:spacing w:after="0" w:line="173" w:lineRule="exact"/>
        <w:rPr>
          <w:sz w:val="20"/>
          <w:szCs w:val="20"/>
          <w:color w:val="auto"/>
        </w:rPr>
      </w:pPr>
    </w:p>
    <w:p>
      <w:pPr>
        <w:ind w:left="220" w:right="339"/>
        <w:spacing w:after="0" w:line="235" w:lineRule="auto"/>
        <w:rPr>
          <w:sz w:val="20"/>
          <w:szCs w:val="20"/>
          <w:color w:val="auto"/>
        </w:rPr>
      </w:pPr>
      <w:r>
        <w:rPr>
          <w:rFonts w:ascii="Calibri" w:cs="Calibri" w:eastAsia="Calibri" w:hAnsi="Calibri"/>
          <w:sz w:val="14"/>
          <w:szCs w:val="14"/>
          <w:color w:val="auto"/>
        </w:rPr>
        <w:t>This summary also does not address the tax consideratons arising under the laws of any non-U.S. or U.S. state or local jurisdicton, under U.S. federal gif and estate tax rules nor does it address any aspects of any alternatve minimum tax, the special tax accountng rules under Secton 451(b) of the Code, or the Medicare tax on net investment income. In additon, this discussion does not address tax consideratons applicable to an investor’s partcular circumstances or to investors that may be subject to special tax rules, including, without limitaton:</w:t>
      </w:r>
    </w:p>
    <w:p>
      <w:pPr>
        <w:spacing w:after="0" w:line="93" w:lineRule="exact"/>
        <w:rPr>
          <w:sz w:val="20"/>
          <w:szCs w:val="20"/>
          <w:color w:val="auto"/>
        </w:rPr>
      </w:pPr>
    </w:p>
    <w:p>
      <w:pPr>
        <w:ind w:left="980" w:hanging="341"/>
        <w:spacing w:after="0"/>
        <w:tabs>
          <w:tab w:leader="none" w:pos="980" w:val="left"/>
        </w:tabs>
        <w:numPr>
          <w:ilvl w:val="0"/>
          <w:numId w:val="14"/>
        </w:numPr>
        <w:rPr>
          <w:rFonts w:ascii="Calibri" w:cs="Calibri" w:eastAsia="Calibri" w:hAnsi="Calibri"/>
          <w:sz w:val="14"/>
          <w:szCs w:val="14"/>
          <w:color w:val="auto"/>
        </w:rPr>
      </w:pPr>
      <w:r>
        <w:rPr>
          <w:rFonts w:ascii="Calibri" w:cs="Calibri" w:eastAsia="Calibri" w:hAnsi="Calibri"/>
          <w:sz w:val="14"/>
          <w:szCs w:val="14"/>
          <w:color w:val="auto"/>
        </w:rPr>
        <w:t>banks, insurance companies, regulated investment companies, real estate investment trusts or other fnancial insttutons;</w:t>
      </w:r>
    </w:p>
    <w:p>
      <w:pPr>
        <w:spacing w:after="0" w:line="91" w:lineRule="exact"/>
        <w:rPr>
          <w:rFonts w:ascii="Calibri" w:cs="Calibri" w:eastAsia="Calibri" w:hAnsi="Calibri"/>
          <w:sz w:val="14"/>
          <w:szCs w:val="14"/>
          <w:color w:val="auto"/>
        </w:rPr>
      </w:pPr>
    </w:p>
    <w:p>
      <w:pPr>
        <w:ind w:left="980" w:hanging="341"/>
        <w:spacing w:after="0"/>
        <w:tabs>
          <w:tab w:leader="none" w:pos="980" w:val="left"/>
        </w:tabs>
        <w:numPr>
          <w:ilvl w:val="0"/>
          <w:numId w:val="14"/>
        </w:numPr>
        <w:rPr>
          <w:rFonts w:ascii="Calibri" w:cs="Calibri" w:eastAsia="Calibri" w:hAnsi="Calibri"/>
          <w:sz w:val="14"/>
          <w:szCs w:val="14"/>
          <w:color w:val="auto"/>
        </w:rPr>
      </w:pPr>
      <w:r>
        <w:rPr>
          <w:rFonts w:ascii="Calibri" w:cs="Calibri" w:eastAsia="Calibri" w:hAnsi="Calibri"/>
          <w:sz w:val="14"/>
          <w:szCs w:val="14"/>
          <w:color w:val="auto"/>
        </w:rPr>
        <w:t>tax-exempt organizatons or governmental organizatons;</w:t>
      </w:r>
    </w:p>
    <w:p>
      <w:pPr>
        <w:spacing w:after="0" w:line="91" w:lineRule="exact"/>
        <w:rPr>
          <w:rFonts w:ascii="Calibri" w:cs="Calibri" w:eastAsia="Calibri" w:hAnsi="Calibri"/>
          <w:sz w:val="14"/>
          <w:szCs w:val="14"/>
          <w:color w:val="auto"/>
        </w:rPr>
      </w:pPr>
    </w:p>
    <w:p>
      <w:pPr>
        <w:ind w:left="980" w:hanging="341"/>
        <w:spacing w:after="0"/>
        <w:tabs>
          <w:tab w:leader="none" w:pos="980" w:val="left"/>
        </w:tabs>
        <w:numPr>
          <w:ilvl w:val="0"/>
          <w:numId w:val="14"/>
        </w:numPr>
        <w:rPr>
          <w:rFonts w:ascii="Calibri" w:cs="Calibri" w:eastAsia="Calibri" w:hAnsi="Calibri"/>
          <w:sz w:val="14"/>
          <w:szCs w:val="14"/>
          <w:color w:val="auto"/>
        </w:rPr>
      </w:pPr>
      <w:r>
        <w:rPr>
          <w:rFonts w:ascii="Calibri" w:cs="Calibri" w:eastAsia="Calibri" w:hAnsi="Calibri"/>
          <w:sz w:val="14"/>
          <w:szCs w:val="14"/>
          <w:color w:val="auto"/>
        </w:rPr>
        <w:t>pension plans and tax-qualifed retrement plans;</w:t>
      </w:r>
    </w:p>
    <w:p>
      <w:pPr>
        <w:spacing w:after="0" w:line="95" w:lineRule="exact"/>
        <w:rPr>
          <w:rFonts w:ascii="Calibri" w:cs="Calibri" w:eastAsia="Calibri" w:hAnsi="Calibri"/>
          <w:sz w:val="14"/>
          <w:szCs w:val="14"/>
          <w:color w:val="auto"/>
        </w:rPr>
      </w:pPr>
    </w:p>
    <w:p>
      <w:pPr>
        <w:ind w:left="980" w:right="359" w:hanging="341"/>
        <w:spacing w:after="0" w:line="235" w:lineRule="auto"/>
        <w:tabs>
          <w:tab w:leader="none" w:pos="980" w:val="left"/>
        </w:tabs>
        <w:numPr>
          <w:ilvl w:val="0"/>
          <w:numId w:val="14"/>
        </w:numPr>
        <w:rPr>
          <w:rFonts w:ascii="Calibri" w:cs="Calibri" w:eastAsia="Calibri" w:hAnsi="Calibri"/>
          <w:sz w:val="14"/>
          <w:szCs w:val="14"/>
          <w:color w:val="auto"/>
        </w:rPr>
      </w:pPr>
      <w:r>
        <w:rPr>
          <w:rFonts w:ascii="Calibri" w:cs="Calibri" w:eastAsia="Calibri" w:hAnsi="Calibri"/>
          <w:sz w:val="14"/>
          <w:szCs w:val="14"/>
          <w:color w:val="auto"/>
        </w:rPr>
        <w:t>controlled foreign corporatons, passive controlled foreign corporatons, foreign controlled foreign corporatons, passive foreign investment companies and corporatons that accumulate earnings to avoid U.S. federal income tax;</w:t>
      </w:r>
    </w:p>
    <w:p>
      <w:pPr>
        <w:spacing w:after="0" w:line="92" w:lineRule="exact"/>
        <w:rPr>
          <w:rFonts w:ascii="Calibri" w:cs="Calibri" w:eastAsia="Calibri" w:hAnsi="Calibri"/>
          <w:sz w:val="14"/>
          <w:szCs w:val="14"/>
          <w:color w:val="auto"/>
        </w:rPr>
      </w:pPr>
    </w:p>
    <w:p>
      <w:pPr>
        <w:ind w:left="980" w:hanging="341"/>
        <w:spacing w:after="0"/>
        <w:tabs>
          <w:tab w:leader="none" w:pos="980" w:val="left"/>
        </w:tabs>
        <w:numPr>
          <w:ilvl w:val="0"/>
          <w:numId w:val="14"/>
        </w:numPr>
        <w:rPr>
          <w:rFonts w:ascii="Calibri" w:cs="Calibri" w:eastAsia="Calibri" w:hAnsi="Calibri"/>
          <w:sz w:val="14"/>
          <w:szCs w:val="14"/>
          <w:color w:val="auto"/>
        </w:rPr>
      </w:pPr>
      <w:r>
        <w:rPr>
          <w:rFonts w:ascii="Calibri" w:cs="Calibri" w:eastAsia="Calibri" w:hAnsi="Calibri"/>
          <w:sz w:val="14"/>
          <w:szCs w:val="14"/>
          <w:color w:val="auto"/>
        </w:rPr>
        <w:t>brokers or dealers in securites or currencies;</w:t>
      </w:r>
    </w:p>
    <w:p>
      <w:pPr>
        <w:spacing w:after="0" w:line="91" w:lineRule="exact"/>
        <w:rPr>
          <w:rFonts w:ascii="Calibri" w:cs="Calibri" w:eastAsia="Calibri" w:hAnsi="Calibri"/>
          <w:sz w:val="14"/>
          <w:szCs w:val="14"/>
          <w:color w:val="auto"/>
        </w:rPr>
      </w:pPr>
    </w:p>
    <w:p>
      <w:pPr>
        <w:ind w:left="980" w:hanging="341"/>
        <w:spacing w:after="0"/>
        <w:tabs>
          <w:tab w:leader="none" w:pos="980" w:val="left"/>
        </w:tabs>
        <w:numPr>
          <w:ilvl w:val="0"/>
          <w:numId w:val="14"/>
        </w:numPr>
        <w:rPr>
          <w:rFonts w:ascii="Calibri" w:cs="Calibri" w:eastAsia="Calibri" w:hAnsi="Calibri"/>
          <w:sz w:val="14"/>
          <w:szCs w:val="14"/>
          <w:color w:val="auto"/>
        </w:rPr>
      </w:pPr>
      <w:r>
        <w:rPr>
          <w:rFonts w:ascii="Calibri" w:cs="Calibri" w:eastAsia="Calibri" w:hAnsi="Calibri"/>
          <w:sz w:val="14"/>
          <w:szCs w:val="14"/>
          <w:color w:val="auto"/>
        </w:rPr>
        <w:t>traders in securites that elect to use a mark-to-market method of accountng for their securites holdings;</w:t>
      </w:r>
    </w:p>
    <w:p>
      <w:pPr>
        <w:spacing w:after="0" w:line="95" w:lineRule="exact"/>
        <w:rPr>
          <w:rFonts w:ascii="Calibri" w:cs="Calibri" w:eastAsia="Calibri" w:hAnsi="Calibri"/>
          <w:sz w:val="14"/>
          <w:szCs w:val="14"/>
          <w:color w:val="auto"/>
        </w:rPr>
      </w:pPr>
    </w:p>
    <w:p>
      <w:pPr>
        <w:ind w:left="980" w:right="599" w:hanging="341"/>
        <w:spacing w:after="0" w:line="235" w:lineRule="auto"/>
        <w:tabs>
          <w:tab w:leader="none" w:pos="980" w:val="left"/>
        </w:tabs>
        <w:numPr>
          <w:ilvl w:val="0"/>
          <w:numId w:val="14"/>
        </w:numPr>
        <w:rPr>
          <w:rFonts w:ascii="Calibri" w:cs="Calibri" w:eastAsia="Calibri" w:hAnsi="Calibri"/>
          <w:sz w:val="14"/>
          <w:szCs w:val="14"/>
          <w:color w:val="auto"/>
        </w:rPr>
      </w:pPr>
      <w:r>
        <w:rPr>
          <w:rFonts w:ascii="Calibri" w:cs="Calibri" w:eastAsia="Calibri" w:hAnsi="Calibri"/>
          <w:sz w:val="14"/>
          <w:szCs w:val="14"/>
          <w:color w:val="auto"/>
        </w:rPr>
        <w:t>persons that own, or are deemed to own, more than fve percent of our capital stock and/or pre-funded warrants (except to the extent specifcally set forth below);</w:t>
      </w:r>
    </w:p>
    <w:p>
      <w:pPr>
        <w:spacing w:after="0" w:line="92" w:lineRule="exact"/>
        <w:rPr>
          <w:rFonts w:ascii="Calibri" w:cs="Calibri" w:eastAsia="Calibri" w:hAnsi="Calibri"/>
          <w:sz w:val="14"/>
          <w:szCs w:val="14"/>
          <w:color w:val="auto"/>
        </w:rPr>
      </w:pPr>
    </w:p>
    <w:p>
      <w:pPr>
        <w:ind w:left="980" w:hanging="341"/>
        <w:spacing w:after="0"/>
        <w:tabs>
          <w:tab w:leader="none" w:pos="980" w:val="left"/>
        </w:tabs>
        <w:numPr>
          <w:ilvl w:val="0"/>
          <w:numId w:val="14"/>
        </w:numPr>
        <w:rPr>
          <w:rFonts w:ascii="Calibri" w:cs="Calibri" w:eastAsia="Calibri" w:hAnsi="Calibri"/>
          <w:sz w:val="14"/>
          <w:szCs w:val="14"/>
          <w:color w:val="auto"/>
        </w:rPr>
      </w:pPr>
      <w:r>
        <w:rPr>
          <w:rFonts w:ascii="Calibri" w:cs="Calibri" w:eastAsia="Calibri" w:hAnsi="Calibri"/>
          <w:sz w:val="14"/>
          <w:szCs w:val="14"/>
          <w:color w:val="auto"/>
        </w:rPr>
        <w:t>certain former citzens or long-term residents of the United States;</w:t>
      </w:r>
    </w:p>
    <w:p>
      <w:pPr>
        <w:spacing w:after="0" w:line="91" w:lineRule="exact"/>
        <w:rPr>
          <w:rFonts w:ascii="Calibri" w:cs="Calibri" w:eastAsia="Calibri" w:hAnsi="Calibri"/>
          <w:sz w:val="14"/>
          <w:szCs w:val="14"/>
          <w:color w:val="auto"/>
        </w:rPr>
      </w:pPr>
    </w:p>
    <w:p>
      <w:pPr>
        <w:ind w:left="980" w:hanging="341"/>
        <w:spacing w:after="0"/>
        <w:tabs>
          <w:tab w:leader="none" w:pos="980" w:val="left"/>
        </w:tabs>
        <w:numPr>
          <w:ilvl w:val="0"/>
          <w:numId w:val="14"/>
        </w:numPr>
        <w:rPr>
          <w:rFonts w:ascii="Calibri" w:cs="Calibri" w:eastAsia="Calibri" w:hAnsi="Calibri"/>
          <w:sz w:val="14"/>
          <w:szCs w:val="14"/>
          <w:color w:val="auto"/>
        </w:rPr>
      </w:pPr>
      <w:r>
        <w:rPr>
          <w:rFonts w:ascii="Calibri" w:cs="Calibri" w:eastAsia="Calibri" w:hAnsi="Calibri"/>
          <w:sz w:val="14"/>
          <w:szCs w:val="14"/>
          <w:color w:val="auto"/>
        </w:rPr>
        <w:t>persons who acquired our common stock pursuant to the exercise of any employee stock opton or otherwise as compensaton;</w:t>
      </w:r>
    </w:p>
    <w:p>
      <w:pPr>
        <w:spacing w:after="0" w:line="95" w:lineRule="exact"/>
        <w:rPr>
          <w:rFonts w:ascii="Calibri" w:cs="Calibri" w:eastAsia="Calibri" w:hAnsi="Calibri"/>
          <w:sz w:val="14"/>
          <w:szCs w:val="14"/>
          <w:color w:val="auto"/>
        </w:rPr>
      </w:pPr>
    </w:p>
    <w:p>
      <w:pPr>
        <w:ind w:left="980" w:right="399" w:hanging="341"/>
        <w:spacing w:after="0" w:line="235" w:lineRule="auto"/>
        <w:tabs>
          <w:tab w:leader="none" w:pos="980" w:val="left"/>
        </w:tabs>
        <w:numPr>
          <w:ilvl w:val="0"/>
          <w:numId w:val="14"/>
        </w:numPr>
        <w:rPr>
          <w:rFonts w:ascii="Calibri" w:cs="Calibri" w:eastAsia="Calibri" w:hAnsi="Calibri"/>
          <w:sz w:val="14"/>
          <w:szCs w:val="14"/>
          <w:color w:val="auto"/>
        </w:rPr>
      </w:pPr>
      <w:r>
        <w:rPr>
          <w:rFonts w:ascii="Calibri" w:cs="Calibri" w:eastAsia="Calibri" w:hAnsi="Calibri"/>
          <w:sz w:val="14"/>
          <w:szCs w:val="14"/>
          <w:color w:val="auto"/>
        </w:rPr>
        <w:t>persons who hold our common stock or pre-funded warrants as a positon in a hedging transacton, “straddle,” “conversion transacton” or other risk reducton transacton;</w:t>
      </w:r>
    </w:p>
    <w:p>
      <w:pPr>
        <w:spacing w:after="0" w:line="95" w:lineRule="exact"/>
        <w:rPr>
          <w:rFonts w:ascii="Calibri" w:cs="Calibri" w:eastAsia="Calibri" w:hAnsi="Calibri"/>
          <w:sz w:val="14"/>
          <w:szCs w:val="14"/>
          <w:color w:val="auto"/>
        </w:rPr>
      </w:pPr>
    </w:p>
    <w:p>
      <w:pPr>
        <w:ind w:left="980" w:right="639" w:hanging="341"/>
        <w:spacing w:after="0" w:line="235" w:lineRule="auto"/>
        <w:tabs>
          <w:tab w:leader="none" w:pos="980" w:val="left"/>
        </w:tabs>
        <w:numPr>
          <w:ilvl w:val="0"/>
          <w:numId w:val="14"/>
        </w:numPr>
        <w:rPr>
          <w:rFonts w:ascii="Calibri" w:cs="Calibri" w:eastAsia="Calibri" w:hAnsi="Calibri"/>
          <w:sz w:val="14"/>
          <w:szCs w:val="14"/>
          <w:color w:val="auto"/>
        </w:rPr>
      </w:pPr>
      <w:r>
        <w:rPr>
          <w:rFonts w:ascii="Calibri" w:cs="Calibri" w:eastAsia="Calibri" w:hAnsi="Calibri"/>
          <w:sz w:val="14"/>
          <w:szCs w:val="14"/>
          <w:color w:val="auto"/>
        </w:rPr>
        <w:t>persons who do not hold our common stock or pre-funded warrants as a capital asset within the meaning of Secton 1221 of the Code (generally, property held for investment);</w:t>
      </w:r>
    </w:p>
    <w:p>
      <w:pPr>
        <w:spacing w:after="0" w:line="95" w:lineRule="exact"/>
        <w:rPr>
          <w:rFonts w:ascii="Calibri" w:cs="Calibri" w:eastAsia="Calibri" w:hAnsi="Calibri"/>
          <w:sz w:val="14"/>
          <w:szCs w:val="14"/>
          <w:color w:val="auto"/>
        </w:rPr>
      </w:pPr>
    </w:p>
    <w:p>
      <w:pPr>
        <w:ind w:left="980" w:right="299" w:hanging="341"/>
        <w:spacing w:after="0" w:line="235" w:lineRule="auto"/>
        <w:tabs>
          <w:tab w:leader="none" w:pos="980" w:val="left"/>
        </w:tabs>
        <w:numPr>
          <w:ilvl w:val="0"/>
          <w:numId w:val="14"/>
        </w:numPr>
        <w:rPr>
          <w:rFonts w:ascii="Calibri" w:cs="Calibri" w:eastAsia="Calibri" w:hAnsi="Calibri"/>
          <w:sz w:val="14"/>
          <w:szCs w:val="14"/>
          <w:color w:val="auto"/>
        </w:rPr>
      </w:pPr>
      <w:r>
        <w:rPr>
          <w:rFonts w:ascii="Calibri" w:cs="Calibri" w:eastAsia="Calibri" w:hAnsi="Calibri"/>
          <w:sz w:val="14"/>
          <w:szCs w:val="14"/>
          <w:color w:val="auto"/>
        </w:rPr>
        <w:t>persons who hold common stock or pre-funded warrants that consttute “qualifed small business stock” under Secton 1202 of the Code, or “Secton 1244 stock” under Secton 1244 of the Code;</w:t>
      </w:r>
    </w:p>
    <w:p>
      <w:pPr>
        <w:spacing w:after="0" w:line="95" w:lineRule="exact"/>
        <w:rPr>
          <w:rFonts w:ascii="Calibri" w:cs="Calibri" w:eastAsia="Calibri" w:hAnsi="Calibri"/>
          <w:sz w:val="14"/>
          <w:szCs w:val="14"/>
          <w:color w:val="auto"/>
        </w:rPr>
      </w:pPr>
    </w:p>
    <w:p>
      <w:pPr>
        <w:ind w:left="980" w:right="759" w:hanging="341"/>
        <w:spacing w:after="0" w:line="235" w:lineRule="auto"/>
        <w:tabs>
          <w:tab w:leader="none" w:pos="980" w:val="left"/>
        </w:tabs>
        <w:numPr>
          <w:ilvl w:val="0"/>
          <w:numId w:val="14"/>
        </w:numPr>
        <w:rPr>
          <w:rFonts w:ascii="Calibri" w:cs="Calibri" w:eastAsia="Calibri" w:hAnsi="Calibri"/>
          <w:sz w:val="14"/>
          <w:szCs w:val="14"/>
          <w:color w:val="auto"/>
        </w:rPr>
      </w:pPr>
      <w:r>
        <w:rPr>
          <w:rFonts w:ascii="Calibri" w:cs="Calibri" w:eastAsia="Calibri" w:hAnsi="Calibri"/>
          <w:sz w:val="14"/>
          <w:szCs w:val="14"/>
          <w:color w:val="auto"/>
        </w:rPr>
        <w:t>persons who acquired our common stock or pre-funded warrants in a transacton subject to the gain rollover provisions of the Code (including Secton 1045 of the Code);</w:t>
      </w:r>
    </w:p>
    <w:p>
      <w:pPr>
        <w:spacing w:after="0" w:line="95" w:lineRule="exact"/>
        <w:rPr>
          <w:rFonts w:ascii="Calibri" w:cs="Calibri" w:eastAsia="Calibri" w:hAnsi="Calibri"/>
          <w:sz w:val="14"/>
          <w:szCs w:val="14"/>
          <w:color w:val="auto"/>
        </w:rPr>
      </w:pPr>
    </w:p>
    <w:p>
      <w:pPr>
        <w:ind w:left="980" w:right="279" w:hanging="341"/>
        <w:spacing w:after="0" w:line="235" w:lineRule="auto"/>
        <w:tabs>
          <w:tab w:leader="none" w:pos="980" w:val="left"/>
        </w:tabs>
        <w:numPr>
          <w:ilvl w:val="0"/>
          <w:numId w:val="14"/>
        </w:numPr>
        <w:rPr>
          <w:rFonts w:ascii="Calibri" w:cs="Calibri" w:eastAsia="Calibri" w:hAnsi="Calibri"/>
          <w:sz w:val="14"/>
          <w:szCs w:val="14"/>
          <w:color w:val="auto"/>
        </w:rPr>
      </w:pPr>
      <w:r>
        <w:rPr>
          <w:rFonts w:ascii="Calibri" w:cs="Calibri" w:eastAsia="Calibri" w:hAnsi="Calibri"/>
          <w:sz w:val="14"/>
          <w:szCs w:val="14"/>
          <w:color w:val="auto"/>
        </w:rPr>
        <w:t>persons that own, or have owned, actually or constructvely, more than 5% of our common stock, including, for this purpose, our pre-funded warrants (except where specifcally described below);</w:t>
      </w:r>
    </w:p>
    <w:p>
      <w:pPr>
        <w:spacing w:after="0" w:line="113" w:lineRule="exact"/>
        <w:rPr>
          <w:sz w:val="20"/>
          <w:szCs w:val="20"/>
          <w:color w:val="auto"/>
        </w:rPr>
      </w:pPr>
    </w:p>
    <w:p>
      <w:pPr>
        <w:jc w:val="center"/>
        <w:spacing w:after="0"/>
        <w:rPr>
          <w:sz w:val="20"/>
          <w:szCs w:val="20"/>
          <w:color w:val="auto"/>
        </w:rPr>
      </w:pPr>
      <w:r>
        <w:rPr>
          <w:rFonts w:ascii="Calibri" w:cs="Calibri" w:eastAsia="Calibri" w:hAnsi="Calibri"/>
          <w:sz w:val="14"/>
          <w:szCs w:val="14"/>
          <w:color w:val="auto"/>
        </w:rPr>
        <w:t>S-21</w:t>
      </w:r>
    </w:p>
    <w:p>
      <w:pPr>
        <w:sectPr>
          <w:pgSz w:w="11900" w:h="16838" w:orient="portrait"/>
          <w:cols w:equalWidth="0" w:num="1">
            <w:col w:w="9019"/>
          </w:cols>
          <w:pgMar w:left="1440" w:top="234" w:right="1440" w:bottom="1440" w:gutter="0" w:footer="0" w:header="0"/>
        </w:sectPr>
      </w:pPr>
    </w:p>
    <w:bookmarkStart w:id="23" w:name="page24"/>
    <w:bookmarkEnd w:id="23"/>
    <w:p>
      <w:pPr>
        <w:ind w:left="980" w:right="479" w:hanging="341"/>
        <w:spacing w:after="0" w:line="235" w:lineRule="auto"/>
        <w:tabs>
          <w:tab w:leader="none" w:pos="980" w:val="left"/>
        </w:tabs>
        <w:numPr>
          <w:ilvl w:val="0"/>
          <w:numId w:val="15"/>
        </w:numPr>
        <w:rPr>
          <w:rFonts w:ascii="Calibri" w:cs="Calibri" w:eastAsia="Calibri" w:hAnsi="Calibri"/>
          <w:sz w:val="14"/>
          <w:szCs w:val="14"/>
          <w:color w:val="auto"/>
        </w:rPr>
      </w:pPr>
      <w:r>
        <w:rPr>
          <w:rFonts w:ascii="Calibri" w:cs="Calibri" w:eastAsia="Calibri" w:hAnsi="Calibri"/>
          <w:sz w:val="14"/>
          <w:szCs w:val="14"/>
          <w:color w:val="auto"/>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01535" cy="32385"/>
                    </a:xfrm>
                    <a:prstGeom prst="rect">
                      <a:avLst/>
                    </a:prstGeom>
                    <a:noFill/>
                  </pic:spPr>
                </pic:pic>
              </a:graphicData>
            </a:graphic>
          </wp:anchor>
        </w:drawing>
        <w:t>“qualifed foreign pension funds” as defned in Secton 897(l)(2) of the Code and enttes all of the interests of which are held by qualifed foreign pension funds; or</w:t>
      </w:r>
    </w:p>
    <w:p>
      <w:pPr>
        <w:spacing w:after="0" w:line="92" w:lineRule="exact"/>
        <w:rPr>
          <w:rFonts w:ascii="Calibri" w:cs="Calibri" w:eastAsia="Calibri" w:hAnsi="Calibri"/>
          <w:sz w:val="14"/>
          <w:szCs w:val="14"/>
          <w:color w:val="auto"/>
        </w:rPr>
      </w:pPr>
    </w:p>
    <w:p>
      <w:pPr>
        <w:ind w:left="980" w:hanging="341"/>
        <w:spacing w:after="0"/>
        <w:tabs>
          <w:tab w:leader="none" w:pos="980" w:val="left"/>
        </w:tabs>
        <w:numPr>
          <w:ilvl w:val="0"/>
          <w:numId w:val="15"/>
        </w:numPr>
        <w:rPr>
          <w:rFonts w:ascii="Calibri" w:cs="Calibri" w:eastAsia="Calibri" w:hAnsi="Calibri"/>
          <w:sz w:val="14"/>
          <w:szCs w:val="14"/>
          <w:color w:val="auto"/>
        </w:rPr>
      </w:pPr>
      <w:r>
        <w:rPr>
          <w:rFonts w:ascii="Calibri" w:cs="Calibri" w:eastAsia="Calibri" w:hAnsi="Calibri"/>
          <w:sz w:val="14"/>
          <w:szCs w:val="14"/>
          <w:color w:val="auto"/>
        </w:rPr>
        <w:t>persons deemed to sell our common stock or pre-funded warrants under the constructve sale provisions of the Code.</w:t>
      </w:r>
    </w:p>
    <w:p>
      <w:pPr>
        <w:spacing w:after="0" w:line="169" w:lineRule="exact"/>
        <w:rPr>
          <w:sz w:val="20"/>
          <w:szCs w:val="20"/>
          <w:color w:val="auto"/>
        </w:rPr>
      </w:pPr>
    </w:p>
    <w:p>
      <w:pPr>
        <w:ind w:left="220" w:right="319"/>
        <w:spacing w:after="0" w:line="235" w:lineRule="auto"/>
        <w:rPr>
          <w:sz w:val="20"/>
          <w:szCs w:val="20"/>
          <w:color w:val="auto"/>
        </w:rPr>
      </w:pPr>
      <w:r>
        <w:rPr>
          <w:rFonts w:ascii="Calibri" w:cs="Calibri" w:eastAsia="Calibri" w:hAnsi="Calibri"/>
          <w:sz w:val="14"/>
          <w:szCs w:val="14"/>
          <w:color w:val="auto"/>
        </w:rPr>
        <w:t>In additon, if a partnership, entty or arrangement classifed as a partnership or fow-through entty for U.S. federal income tax purposes holds our common stock or pre-funded warrants, the tax treatment of a partner or owner in such entty generally will depend on the status of the partner or owner and upon the actvites of the entty. A partner or owner in a partnership or other such entty that will hold our common stock or pre-funded warrants should consult his, her or its own tax advisor regarding the tax consequences of the purchase, ownership and dispositon of our common stock or pre-funded warrants through a partnership or other such entty, as applicable.</w:t>
      </w:r>
    </w:p>
    <w:p>
      <w:pPr>
        <w:spacing w:after="0" w:line="172" w:lineRule="exact"/>
        <w:rPr>
          <w:sz w:val="20"/>
          <w:szCs w:val="20"/>
          <w:color w:val="auto"/>
        </w:rPr>
      </w:pPr>
    </w:p>
    <w:p>
      <w:pPr>
        <w:ind w:left="220" w:right="299"/>
        <w:spacing w:after="0" w:line="235" w:lineRule="auto"/>
        <w:rPr>
          <w:sz w:val="20"/>
          <w:szCs w:val="20"/>
          <w:color w:val="auto"/>
        </w:rPr>
      </w:pPr>
      <w:r>
        <w:rPr>
          <w:rFonts w:ascii="Calibri" w:cs="Calibri" w:eastAsia="Calibri" w:hAnsi="Calibri"/>
          <w:sz w:val="14"/>
          <w:szCs w:val="14"/>
          <w:b w:val="1"/>
          <w:bCs w:val="1"/>
          <w:color w:val="auto"/>
        </w:rPr>
        <w:t>This discussion is for informatonal purposes only and is not tax advice. You are urged to consult your tax advisor with respect to the applicaton of the U.S. federal income tax laws to your partcular situaton, as well as any tax consequences of the purchase, ownership and dispositon of our common stock, or pre-funded warrants, arising under the U.S. federal gif or estate tax rules or under the laws of any U.S. state or local, non-U.S. or other taxing jurisdicton or under any applicable tax treaty.</w:t>
      </w:r>
    </w:p>
    <w:p>
      <w:pPr>
        <w:spacing w:after="0" w:line="251" w:lineRule="exact"/>
        <w:rPr>
          <w:sz w:val="20"/>
          <w:szCs w:val="20"/>
          <w:color w:val="auto"/>
        </w:rPr>
      </w:pPr>
    </w:p>
    <w:p>
      <w:pPr>
        <w:ind w:left="220"/>
        <w:spacing w:after="0"/>
        <w:rPr>
          <w:sz w:val="20"/>
          <w:szCs w:val="20"/>
          <w:color w:val="auto"/>
        </w:rPr>
      </w:pPr>
      <w:r>
        <w:rPr>
          <w:rFonts w:ascii="Calibri" w:cs="Calibri" w:eastAsia="Calibri" w:hAnsi="Calibri"/>
          <w:sz w:val="14"/>
          <w:szCs w:val="14"/>
          <w:b w:val="1"/>
          <w:bCs w:val="1"/>
          <w:color w:val="auto"/>
        </w:rPr>
        <w:t>U.S. Holder and Non-U.S. Holder Defned</w:t>
      </w:r>
    </w:p>
    <w:p>
      <w:pPr>
        <w:spacing w:after="0" w:line="85" w:lineRule="exact"/>
        <w:rPr>
          <w:sz w:val="20"/>
          <w:szCs w:val="20"/>
          <w:color w:val="auto"/>
        </w:rPr>
      </w:pPr>
    </w:p>
    <w:p>
      <w:pPr>
        <w:ind w:left="220" w:right="299"/>
        <w:spacing w:after="0" w:line="235" w:lineRule="auto"/>
        <w:rPr>
          <w:sz w:val="20"/>
          <w:szCs w:val="20"/>
          <w:color w:val="auto"/>
        </w:rPr>
      </w:pPr>
      <w:r>
        <w:rPr>
          <w:rFonts w:ascii="Calibri" w:cs="Calibri" w:eastAsia="Calibri" w:hAnsi="Calibri"/>
          <w:sz w:val="14"/>
          <w:szCs w:val="14"/>
          <w:color w:val="auto"/>
        </w:rPr>
        <w:t>For purposes of this discussion, you are a “U.S. holder” if you are a benefcial owner (other than a partnership or other entty or arrangement classifed as a partnership for U.S. federal income tax purposes) of our common stock or pre-funded warrants that, for U.S. federal income tax purposes, is:</w:t>
      </w:r>
    </w:p>
    <w:p>
      <w:pPr>
        <w:spacing w:after="0" w:line="92" w:lineRule="exact"/>
        <w:rPr>
          <w:sz w:val="20"/>
          <w:szCs w:val="20"/>
          <w:color w:val="auto"/>
        </w:rPr>
      </w:pPr>
    </w:p>
    <w:p>
      <w:pPr>
        <w:ind w:left="980" w:hanging="341"/>
        <w:spacing w:after="0"/>
        <w:tabs>
          <w:tab w:leader="none" w:pos="980" w:val="left"/>
        </w:tabs>
        <w:numPr>
          <w:ilvl w:val="0"/>
          <w:numId w:val="16"/>
        </w:numPr>
        <w:rPr>
          <w:rFonts w:ascii="Calibri" w:cs="Calibri" w:eastAsia="Calibri" w:hAnsi="Calibri"/>
          <w:sz w:val="14"/>
          <w:szCs w:val="14"/>
          <w:color w:val="auto"/>
        </w:rPr>
      </w:pPr>
      <w:r>
        <w:rPr>
          <w:rFonts w:ascii="Calibri" w:cs="Calibri" w:eastAsia="Calibri" w:hAnsi="Calibri"/>
          <w:sz w:val="14"/>
          <w:szCs w:val="14"/>
          <w:color w:val="auto"/>
        </w:rPr>
        <w:t>an individual who is a citzen or resident of the United States;</w:t>
      </w:r>
    </w:p>
    <w:p>
      <w:pPr>
        <w:spacing w:after="0" w:line="95" w:lineRule="exact"/>
        <w:rPr>
          <w:rFonts w:ascii="Calibri" w:cs="Calibri" w:eastAsia="Calibri" w:hAnsi="Calibri"/>
          <w:sz w:val="14"/>
          <w:szCs w:val="14"/>
          <w:color w:val="auto"/>
        </w:rPr>
      </w:pPr>
    </w:p>
    <w:p>
      <w:pPr>
        <w:ind w:left="980" w:right="459" w:hanging="341"/>
        <w:spacing w:after="0" w:line="235" w:lineRule="auto"/>
        <w:tabs>
          <w:tab w:leader="none" w:pos="980" w:val="left"/>
        </w:tabs>
        <w:numPr>
          <w:ilvl w:val="0"/>
          <w:numId w:val="16"/>
        </w:numPr>
        <w:rPr>
          <w:rFonts w:ascii="Calibri" w:cs="Calibri" w:eastAsia="Calibri" w:hAnsi="Calibri"/>
          <w:sz w:val="14"/>
          <w:szCs w:val="14"/>
          <w:color w:val="auto"/>
        </w:rPr>
      </w:pPr>
      <w:r>
        <w:rPr>
          <w:rFonts w:ascii="Calibri" w:cs="Calibri" w:eastAsia="Calibri" w:hAnsi="Calibri"/>
          <w:sz w:val="14"/>
          <w:szCs w:val="14"/>
          <w:color w:val="auto"/>
        </w:rPr>
        <w:t>a corporaton, or other entty taxable as a corporaton, created or organized in the United States or under the laws of the United States or any politcal subdivision thereof, or otherwise treated as such for U.S. federal income tax purposes;</w:t>
      </w:r>
    </w:p>
    <w:p>
      <w:pPr>
        <w:spacing w:after="0" w:line="92" w:lineRule="exact"/>
        <w:rPr>
          <w:rFonts w:ascii="Calibri" w:cs="Calibri" w:eastAsia="Calibri" w:hAnsi="Calibri"/>
          <w:sz w:val="14"/>
          <w:szCs w:val="14"/>
          <w:color w:val="auto"/>
        </w:rPr>
      </w:pPr>
    </w:p>
    <w:p>
      <w:pPr>
        <w:ind w:left="980" w:hanging="341"/>
        <w:spacing w:after="0"/>
        <w:tabs>
          <w:tab w:leader="none" w:pos="980" w:val="left"/>
        </w:tabs>
        <w:numPr>
          <w:ilvl w:val="0"/>
          <w:numId w:val="16"/>
        </w:numPr>
        <w:rPr>
          <w:rFonts w:ascii="Calibri" w:cs="Calibri" w:eastAsia="Calibri" w:hAnsi="Calibri"/>
          <w:sz w:val="14"/>
          <w:szCs w:val="14"/>
          <w:color w:val="auto"/>
        </w:rPr>
      </w:pPr>
      <w:r>
        <w:rPr>
          <w:rFonts w:ascii="Calibri" w:cs="Calibri" w:eastAsia="Calibri" w:hAnsi="Calibri"/>
          <w:sz w:val="14"/>
          <w:szCs w:val="14"/>
          <w:color w:val="auto"/>
        </w:rPr>
        <w:t>an estate whose income is subject to U.S. federal income tax regardless of its source; or</w:t>
      </w:r>
    </w:p>
    <w:p>
      <w:pPr>
        <w:spacing w:after="0" w:line="95" w:lineRule="exact"/>
        <w:rPr>
          <w:rFonts w:ascii="Calibri" w:cs="Calibri" w:eastAsia="Calibri" w:hAnsi="Calibri"/>
          <w:sz w:val="14"/>
          <w:szCs w:val="14"/>
          <w:color w:val="auto"/>
        </w:rPr>
      </w:pPr>
    </w:p>
    <w:p>
      <w:pPr>
        <w:jc w:val="both"/>
        <w:ind w:left="980" w:right="579" w:hanging="341"/>
        <w:spacing w:after="0" w:line="235" w:lineRule="auto"/>
        <w:tabs>
          <w:tab w:leader="none" w:pos="980" w:val="left"/>
        </w:tabs>
        <w:numPr>
          <w:ilvl w:val="0"/>
          <w:numId w:val="16"/>
        </w:numPr>
        <w:rPr>
          <w:rFonts w:ascii="Calibri" w:cs="Calibri" w:eastAsia="Calibri" w:hAnsi="Calibri"/>
          <w:sz w:val="14"/>
          <w:szCs w:val="14"/>
          <w:color w:val="auto"/>
        </w:rPr>
      </w:pPr>
      <w:r>
        <w:rPr>
          <w:rFonts w:ascii="Calibri" w:cs="Calibri" w:eastAsia="Calibri" w:hAnsi="Calibri"/>
          <w:sz w:val="14"/>
          <w:szCs w:val="14"/>
          <w:color w:val="auto"/>
        </w:rPr>
        <w:t>a trust (1) whose administraton is subject to the primary supervision of a U.S. court and that has one or more U.S. persons (within the meaning of the Code) who have the authority to control all substantal decisions of the trust or (2) that has made a valid electon under applicable Treasury regulatons to be treated as a U.S. person.</w:t>
      </w:r>
    </w:p>
    <w:p>
      <w:pPr>
        <w:spacing w:after="0" w:line="170" w:lineRule="exact"/>
        <w:rPr>
          <w:sz w:val="20"/>
          <w:szCs w:val="20"/>
          <w:color w:val="auto"/>
        </w:rPr>
      </w:pPr>
    </w:p>
    <w:p>
      <w:pPr>
        <w:ind w:left="220"/>
        <w:spacing w:after="0"/>
        <w:rPr>
          <w:sz w:val="20"/>
          <w:szCs w:val="20"/>
          <w:color w:val="auto"/>
        </w:rPr>
      </w:pPr>
      <w:r>
        <w:rPr>
          <w:rFonts w:ascii="Calibri" w:cs="Calibri" w:eastAsia="Calibri" w:hAnsi="Calibri"/>
          <w:sz w:val="13"/>
          <w:szCs w:val="13"/>
          <w:color w:val="auto"/>
        </w:rPr>
        <w:t>For purposes of this discussion, you are a “non-U.S. holder” if you are a benefcial owner of our common stock or pre-funded warrants that is not a U.S.</w:t>
      </w:r>
    </w:p>
    <w:p>
      <w:pPr>
        <w:spacing w:after="0" w:line="5" w:lineRule="exact"/>
        <w:rPr>
          <w:sz w:val="20"/>
          <w:szCs w:val="20"/>
          <w:color w:val="auto"/>
        </w:rPr>
      </w:pPr>
    </w:p>
    <w:p>
      <w:pPr>
        <w:ind w:left="220"/>
        <w:spacing w:after="0"/>
        <w:rPr>
          <w:sz w:val="20"/>
          <w:szCs w:val="20"/>
          <w:color w:val="auto"/>
        </w:rPr>
      </w:pPr>
      <w:r>
        <w:rPr>
          <w:rFonts w:ascii="Calibri" w:cs="Calibri" w:eastAsia="Calibri" w:hAnsi="Calibri"/>
          <w:sz w:val="14"/>
          <w:szCs w:val="14"/>
          <w:color w:val="auto"/>
        </w:rPr>
        <w:t>holder or a partnership (or other entty or arrangement classifed as a partnership for U.S. federal income tax purposes).</w:t>
      </w:r>
    </w:p>
    <w:p>
      <w:pPr>
        <w:spacing w:after="0" w:line="249" w:lineRule="exact"/>
        <w:rPr>
          <w:sz w:val="20"/>
          <w:szCs w:val="20"/>
          <w:color w:val="auto"/>
        </w:rPr>
      </w:pPr>
    </w:p>
    <w:p>
      <w:pPr>
        <w:ind w:left="220"/>
        <w:spacing w:after="0"/>
        <w:rPr>
          <w:sz w:val="20"/>
          <w:szCs w:val="20"/>
          <w:color w:val="auto"/>
        </w:rPr>
      </w:pPr>
      <w:r>
        <w:rPr>
          <w:rFonts w:ascii="Calibri" w:cs="Calibri" w:eastAsia="Calibri" w:hAnsi="Calibri"/>
          <w:sz w:val="14"/>
          <w:szCs w:val="14"/>
          <w:b w:val="1"/>
          <w:bCs w:val="1"/>
          <w:color w:val="auto"/>
        </w:rPr>
        <w:t>General Treatment of Pre-Funded Warrants</w:t>
      </w:r>
    </w:p>
    <w:p>
      <w:pPr>
        <w:spacing w:after="0" w:line="85" w:lineRule="exact"/>
        <w:rPr>
          <w:sz w:val="20"/>
          <w:szCs w:val="20"/>
          <w:color w:val="auto"/>
        </w:rPr>
      </w:pPr>
    </w:p>
    <w:p>
      <w:pPr>
        <w:ind w:left="220" w:right="239"/>
        <w:spacing w:after="0" w:line="235" w:lineRule="auto"/>
        <w:rPr>
          <w:sz w:val="20"/>
          <w:szCs w:val="20"/>
          <w:color w:val="auto"/>
        </w:rPr>
      </w:pPr>
      <w:r>
        <w:rPr>
          <w:rFonts w:ascii="Calibri" w:cs="Calibri" w:eastAsia="Calibri" w:hAnsi="Calibri"/>
          <w:sz w:val="14"/>
          <w:szCs w:val="14"/>
          <w:color w:val="auto"/>
        </w:rPr>
        <w:t>Although the law in this area is not completely setled, the pre-funded warrants are generally expected to be treated as outstanding stock for U.S. federal income tax purposes. Accordingly, no income, gain or loss should be recognized upon the exercise of a pre-funded warrant except to the extent of cash received in exchange for a fractonal share, which will be treated as a sale subject to the rules described below under “Tax Consequences Applicable to U.S. Holders—Gain on Dispositon of Common Stock or Pre-Funded Warrants,” and “Tax Consequences Applicable to Non-U.S. Holders—Gain on Dispositon of Common Stock or Pre-Funded Warrants,” and the holding period of a pre-funded warrant should carry over to the share of common stock received. The tax basis of the pre-funded warrant should carry over to the share of common stock received upon exercise of the pre-funded warrant increased by the exercise price. If you are contemplatng the acquisiton of pre-funded</w:t>
      </w:r>
    </w:p>
    <w:p>
      <w:pPr>
        <w:spacing w:after="0" w:line="117" w:lineRule="exact"/>
        <w:rPr>
          <w:sz w:val="20"/>
          <w:szCs w:val="20"/>
          <w:color w:val="auto"/>
        </w:rPr>
      </w:pPr>
    </w:p>
    <w:p>
      <w:pPr>
        <w:jc w:val="center"/>
        <w:ind w:right="19"/>
        <w:spacing w:after="0"/>
        <w:rPr>
          <w:sz w:val="20"/>
          <w:szCs w:val="20"/>
          <w:color w:val="auto"/>
        </w:rPr>
      </w:pPr>
      <w:r>
        <w:rPr>
          <w:rFonts w:ascii="Calibri" w:cs="Calibri" w:eastAsia="Calibri" w:hAnsi="Calibri"/>
          <w:sz w:val="14"/>
          <w:szCs w:val="14"/>
          <w:color w:val="auto"/>
        </w:rPr>
        <w:t>S-22</w:t>
      </w:r>
    </w:p>
    <w:p>
      <w:pPr>
        <w:sectPr>
          <w:pgSz w:w="11900" w:h="16838" w:orient="portrait"/>
          <w:cols w:equalWidth="0" w:num="1">
            <w:col w:w="9019"/>
          </w:cols>
          <w:pgMar w:left="1440" w:top="238" w:right="1440" w:bottom="1440" w:gutter="0" w:footer="0" w:header="0"/>
        </w:sectPr>
      </w:pPr>
    </w:p>
    <w:bookmarkStart w:id="24" w:name="page25"/>
    <w:bookmarkEnd w:id="24"/>
    <w:p>
      <w:pPr>
        <w:jc w:val="both"/>
        <w:ind w:left="220" w:right="319"/>
        <w:spacing w:after="0" w:line="235" w:lineRule="auto"/>
        <w:rPr>
          <w:sz w:val="20"/>
          <w:szCs w:val="20"/>
          <w:color w:val="auto"/>
        </w:rPr>
      </w:pPr>
      <w:r>
        <w:rPr>
          <w:rFonts w:ascii="Calibri" w:cs="Calibri" w:eastAsia="Calibri" w:hAnsi="Calibri"/>
          <w:sz w:val="14"/>
          <w:szCs w:val="14"/>
          <w:color w:val="auto"/>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01535" cy="32385"/>
                    </a:xfrm>
                    <a:prstGeom prst="rect">
                      <a:avLst/>
                    </a:prstGeom>
                    <a:noFill/>
                  </pic:spPr>
                </pic:pic>
              </a:graphicData>
            </a:graphic>
          </wp:anchor>
        </w:drawing>
        <w:t>warrants, you should discuss with your personal tax advisor the consequences of the purchase, ownership and dispositon of the pre-funded warrants, as well as the exercise of, certain adjustments to, and any payments in respect of the pre-funded warrants (including potental alternatve characterizatons). Except where specifcally noted below, the following discussion assumes our pre-funded warrants are treated as stock.</w:t>
      </w:r>
    </w:p>
    <w:p>
      <w:pPr>
        <w:spacing w:after="0" w:line="250" w:lineRule="exact"/>
        <w:rPr>
          <w:sz w:val="20"/>
          <w:szCs w:val="20"/>
          <w:color w:val="auto"/>
        </w:rPr>
      </w:pPr>
    </w:p>
    <w:p>
      <w:pPr>
        <w:ind w:left="220"/>
        <w:spacing w:after="0"/>
        <w:rPr>
          <w:sz w:val="20"/>
          <w:szCs w:val="20"/>
          <w:color w:val="auto"/>
        </w:rPr>
      </w:pPr>
      <w:r>
        <w:rPr>
          <w:rFonts w:ascii="Calibri" w:cs="Calibri" w:eastAsia="Calibri" w:hAnsi="Calibri"/>
          <w:sz w:val="14"/>
          <w:szCs w:val="14"/>
          <w:b w:val="1"/>
          <w:bCs w:val="1"/>
          <w:color w:val="auto"/>
        </w:rPr>
        <w:t>Tax Consequences Applicable to U.S. Holders</w:t>
      </w:r>
    </w:p>
    <w:p>
      <w:pPr>
        <w:spacing w:after="0" w:line="81" w:lineRule="exact"/>
        <w:rPr>
          <w:sz w:val="20"/>
          <w:szCs w:val="20"/>
          <w:color w:val="auto"/>
        </w:rPr>
      </w:pPr>
    </w:p>
    <w:p>
      <w:pPr>
        <w:ind w:left="220"/>
        <w:spacing w:after="0"/>
        <w:rPr>
          <w:sz w:val="20"/>
          <w:szCs w:val="20"/>
          <w:color w:val="auto"/>
        </w:rPr>
      </w:pPr>
      <w:r>
        <w:rPr>
          <w:rFonts w:ascii="Calibri" w:cs="Calibri" w:eastAsia="Calibri" w:hAnsi="Calibri"/>
          <w:sz w:val="14"/>
          <w:szCs w:val="14"/>
          <w:b w:val="1"/>
          <w:bCs w:val="1"/>
          <w:i w:val="1"/>
          <w:iCs w:val="1"/>
          <w:color w:val="auto"/>
        </w:rPr>
        <w:t>Distributons</w:t>
      </w:r>
    </w:p>
    <w:p>
      <w:pPr>
        <w:spacing w:after="0" w:line="85" w:lineRule="exact"/>
        <w:rPr>
          <w:sz w:val="20"/>
          <w:szCs w:val="20"/>
          <w:color w:val="auto"/>
        </w:rPr>
      </w:pPr>
    </w:p>
    <w:p>
      <w:pPr>
        <w:ind w:left="220" w:right="299"/>
        <w:spacing w:after="0" w:line="255" w:lineRule="auto"/>
        <w:rPr>
          <w:sz w:val="20"/>
          <w:szCs w:val="20"/>
          <w:color w:val="auto"/>
        </w:rPr>
      </w:pPr>
      <w:r>
        <w:rPr>
          <w:rFonts w:ascii="Calibri" w:cs="Calibri" w:eastAsia="Calibri" w:hAnsi="Calibri"/>
          <w:sz w:val="13"/>
          <w:szCs w:val="13"/>
          <w:color w:val="auto"/>
        </w:rPr>
        <w:t>We have never declared or paid cash dividends on our common stock. For the foreseeable future, we intend to retain all of our earnings, if any, to fnance the growth and development of our business and, accordingly, we do not intend to pay cash dividends to holders of our common stock. However, if we do make distributons on our common stock, those payments will consttute dividends for U.S. federal income tax purposes to the extent paid from our current or accumulated earnings and profts, as determined under U.S. federal income tax principles. To the extent those distributons exceed both our current and our accumulated earnings and profts, the excess will consttute a return of capital and will frst reduce your basis in our common stock, but not below zero, and then will be treated as gain from the sale of stock as described below under “Tax Consequences Applicable to U.S. Holders—Gain on Dispositon of Common Stock or Pre-Funded Warrants.” If you are a non-corporate U.S. holder, and certain requirements are met, a preferental U.S. federal income tax rate will apply to any dividends paid to you if you meet certain holding period requirements.</w:t>
      </w:r>
    </w:p>
    <w:p>
      <w:pPr>
        <w:spacing w:after="0" w:line="164" w:lineRule="exact"/>
        <w:rPr>
          <w:sz w:val="20"/>
          <w:szCs w:val="20"/>
          <w:color w:val="auto"/>
        </w:rPr>
      </w:pPr>
    </w:p>
    <w:p>
      <w:pPr>
        <w:ind w:left="220" w:right="559"/>
        <w:spacing w:after="0" w:line="235" w:lineRule="auto"/>
        <w:rPr>
          <w:sz w:val="20"/>
          <w:szCs w:val="20"/>
          <w:color w:val="auto"/>
        </w:rPr>
      </w:pPr>
      <w:r>
        <w:rPr>
          <w:rFonts w:ascii="Calibri" w:cs="Calibri" w:eastAsia="Calibri" w:hAnsi="Calibri"/>
          <w:sz w:val="14"/>
          <w:szCs w:val="14"/>
          <w:color w:val="auto"/>
        </w:rPr>
        <w:t>If you are a corporate shareholder, distributons consttutng dividends for U.S. federal income tax purposes will generally be eligible for the dividends received deducton, or DRD. No assurance can be given that we will have sufcient earnings and profts (as determined under U.S. federal income tax principles) to cause any distributons to be eligible for a DRD. In additon, a DRD is available only if certain holding periods and other taxable income requirements are satsfed.</w:t>
      </w:r>
    </w:p>
    <w:p>
      <w:pPr>
        <w:spacing w:after="0" w:line="171" w:lineRule="exact"/>
        <w:rPr>
          <w:sz w:val="20"/>
          <w:szCs w:val="20"/>
          <w:color w:val="auto"/>
        </w:rPr>
      </w:pPr>
    </w:p>
    <w:p>
      <w:pPr>
        <w:jc w:val="both"/>
        <w:ind w:left="220" w:right="359"/>
        <w:spacing w:after="0" w:line="235" w:lineRule="auto"/>
        <w:rPr>
          <w:sz w:val="20"/>
          <w:szCs w:val="20"/>
          <w:color w:val="auto"/>
        </w:rPr>
      </w:pPr>
      <w:r>
        <w:rPr>
          <w:rFonts w:ascii="Calibri" w:cs="Calibri" w:eastAsia="Calibri" w:hAnsi="Calibri"/>
          <w:sz w:val="14"/>
          <w:szCs w:val="14"/>
          <w:color w:val="auto"/>
        </w:rPr>
        <w:t>The taxaton of a distributon received with respect to a pre-funded warrant is unclear. It is possible such a distributon would be treated as a distributon as described in this secton, although other treatments may also be possible. You should consult your tax advisors regarding the proper treatment of any payments in respect of the pre-funded warrants.</w:t>
      </w:r>
    </w:p>
    <w:p>
      <w:pPr>
        <w:spacing w:after="0" w:line="250" w:lineRule="exact"/>
        <w:rPr>
          <w:sz w:val="20"/>
          <w:szCs w:val="20"/>
          <w:color w:val="auto"/>
        </w:rPr>
      </w:pPr>
    </w:p>
    <w:p>
      <w:pPr>
        <w:ind w:left="220"/>
        <w:spacing w:after="0"/>
        <w:rPr>
          <w:sz w:val="20"/>
          <w:szCs w:val="20"/>
          <w:color w:val="auto"/>
        </w:rPr>
      </w:pPr>
      <w:r>
        <w:rPr>
          <w:rFonts w:ascii="Calibri" w:cs="Calibri" w:eastAsia="Calibri" w:hAnsi="Calibri"/>
          <w:sz w:val="14"/>
          <w:szCs w:val="14"/>
          <w:b w:val="1"/>
          <w:bCs w:val="1"/>
          <w:i w:val="1"/>
          <w:iCs w:val="1"/>
          <w:color w:val="auto"/>
        </w:rPr>
        <w:t>Gain on Dispositon of Common Stock or Pre-Funded Warrants</w:t>
      </w:r>
    </w:p>
    <w:p>
      <w:pPr>
        <w:spacing w:after="0" w:line="85" w:lineRule="exact"/>
        <w:rPr>
          <w:sz w:val="20"/>
          <w:szCs w:val="20"/>
          <w:color w:val="auto"/>
        </w:rPr>
      </w:pPr>
    </w:p>
    <w:p>
      <w:pPr>
        <w:ind w:left="220" w:right="339"/>
        <w:spacing w:after="0" w:line="235" w:lineRule="auto"/>
        <w:rPr>
          <w:sz w:val="20"/>
          <w:szCs w:val="20"/>
          <w:color w:val="auto"/>
        </w:rPr>
      </w:pPr>
      <w:r>
        <w:rPr>
          <w:rFonts w:ascii="Calibri" w:cs="Calibri" w:eastAsia="Calibri" w:hAnsi="Calibri"/>
          <w:sz w:val="14"/>
          <w:szCs w:val="14"/>
          <w:color w:val="auto"/>
        </w:rPr>
        <w:t>Upon a sale or other taxable dispositon of common stock or pre-funded warrants, you generally will recognize capital gain or loss in an amount equal to the diference between the amount realized and your adjusted tax basis in the common stock or pre-funded warrant. Capital gain or loss will consttute long-term capital gain or loss if your holding period for the common stock or pre-funded warrant exceeds one year. The deductbility of capital losses is subject to certain limitatons. U.S. holders who recognize losses with respect to a dispositon of our common stock or pre-funded warrants should consult their own tax advisors regarding the tax treatment of such losses.</w:t>
      </w:r>
    </w:p>
    <w:p>
      <w:pPr>
        <w:spacing w:after="0" w:line="252" w:lineRule="exact"/>
        <w:rPr>
          <w:sz w:val="20"/>
          <w:szCs w:val="20"/>
          <w:color w:val="auto"/>
        </w:rPr>
      </w:pPr>
    </w:p>
    <w:p>
      <w:pPr>
        <w:ind w:left="220"/>
        <w:spacing w:after="0"/>
        <w:rPr>
          <w:sz w:val="20"/>
          <w:szCs w:val="20"/>
          <w:color w:val="auto"/>
        </w:rPr>
      </w:pPr>
      <w:r>
        <w:rPr>
          <w:rFonts w:ascii="Calibri" w:cs="Calibri" w:eastAsia="Calibri" w:hAnsi="Calibri"/>
          <w:sz w:val="14"/>
          <w:szCs w:val="14"/>
          <w:b w:val="1"/>
          <w:bCs w:val="1"/>
          <w:i w:val="1"/>
          <w:iCs w:val="1"/>
          <w:color w:val="auto"/>
        </w:rPr>
        <w:t>Certain Adjustments to Pre-Funded Warrants</w:t>
      </w:r>
    </w:p>
    <w:p>
      <w:pPr>
        <w:spacing w:after="0" w:line="85" w:lineRule="exact"/>
        <w:rPr>
          <w:sz w:val="20"/>
          <w:szCs w:val="20"/>
          <w:color w:val="auto"/>
        </w:rPr>
      </w:pPr>
    </w:p>
    <w:p>
      <w:pPr>
        <w:ind w:left="220" w:right="259"/>
        <w:spacing w:after="0" w:line="256" w:lineRule="auto"/>
        <w:rPr>
          <w:sz w:val="20"/>
          <w:szCs w:val="20"/>
          <w:color w:val="auto"/>
        </w:rPr>
      </w:pPr>
      <w:r>
        <w:rPr>
          <w:rFonts w:ascii="Calibri" w:cs="Calibri" w:eastAsia="Calibri" w:hAnsi="Calibri"/>
          <w:sz w:val="13"/>
          <w:szCs w:val="13"/>
          <w:color w:val="auto"/>
        </w:rPr>
        <w:t>Under Secton 305 of the Code, an adjustment to the number of shares of common stock that will be issued on the exercise of the pre-funded warrants, or an adjustment to the exercise price of the pre-funded warrants, may be treated as a constructve distributon to you of the pre-funded warrants if, and to the extent that, such adjustment has the efect of increasing your proportonate interest in our “earnings and profts” or assets, depending on the circumstances of such adjustment (for example, if such adjustment is to compensate for a distributon of cash or other property to our shareholders). Any such adjustment that is treated as a constructve distributon would be treated as a dividend to the extent described above under “Tax Consequences Applicable to U.S. Holders—Distributons.” You should consult your tax advisor regarding the proper tax treatment of any such adjustment.</w:t>
      </w:r>
    </w:p>
    <w:p>
      <w:pPr>
        <w:spacing w:after="0" w:line="104" w:lineRule="exact"/>
        <w:rPr>
          <w:sz w:val="20"/>
          <w:szCs w:val="20"/>
          <w:color w:val="auto"/>
        </w:rPr>
      </w:pPr>
    </w:p>
    <w:p>
      <w:pPr>
        <w:jc w:val="center"/>
        <w:spacing w:after="0"/>
        <w:rPr>
          <w:sz w:val="20"/>
          <w:szCs w:val="20"/>
          <w:color w:val="auto"/>
        </w:rPr>
      </w:pPr>
      <w:r>
        <w:rPr>
          <w:rFonts w:ascii="Calibri" w:cs="Calibri" w:eastAsia="Calibri" w:hAnsi="Calibri"/>
          <w:sz w:val="14"/>
          <w:szCs w:val="14"/>
          <w:color w:val="auto"/>
        </w:rPr>
        <w:t>S-23</w:t>
      </w:r>
    </w:p>
    <w:p>
      <w:pPr>
        <w:sectPr>
          <w:pgSz w:w="11900" w:h="16838" w:orient="portrait"/>
          <w:cols w:equalWidth="0" w:num="1">
            <w:col w:w="9019"/>
          </w:cols>
          <w:pgMar w:left="1440" w:top="238" w:right="1440" w:bottom="1440" w:gutter="0" w:footer="0" w:header="0"/>
        </w:sectPr>
      </w:pPr>
    </w:p>
    <w:bookmarkStart w:id="25" w:name="page26"/>
    <w:bookmarkEnd w:id="25"/>
    <w:p>
      <w:pPr>
        <w:ind w:left="220"/>
        <w:spacing w:after="0"/>
        <w:rPr>
          <w:sz w:val="20"/>
          <w:szCs w:val="20"/>
          <w:color w:val="auto"/>
        </w:rPr>
      </w:pPr>
      <w:r>
        <w:rPr>
          <w:rFonts w:ascii="Calibri" w:cs="Calibri" w:eastAsia="Calibri" w:hAnsi="Calibri"/>
          <w:sz w:val="14"/>
          <w:szCs w:val="14"/>
          <w:b w:val="1"/>
          <w:bCs w:val="1"/>
          <w:i w:val="1"/>
          <w:iCs w:val="1"/>
          <w:color w:val="auto"/>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01535" cy="33020"/>
                    </a:xfrm>
                    <a:prstGeom prst="rect">
                      <a:avLst/>
                    </a:prstGeom>
                    <a:noFill/>
                  </pic:spPr>
                </pic:pic>
              </a:graphicData>
            </a:graphic>
          </wp:anchor>
        </w:drawing>
        <w:t>Backup Withholding and Informaton Reportng</w:t>
      </w:r>
    </w:p>
    <w:p>
      <w:pPr>
        <w:spacing w:after="0" w:line="85" w:lineRule="exact"/>
        <w:rPr>
          <w:sz w:val="20"/>
          <w:szCs w:val="20"/>
          <w:color w:val="auto"/>
        </w:rPr>
      </w:pPr>
    </w:p>
    <w:p>
      <w:pPr>
        <w:ind w:left="220" w:right="319"/>
        <w:spacing w:after="0" w:line="235" w:lineRule="auto"/>
        <w:rPr>
          <w:sz w:val="20"/>
          <w:szCs w:val="20"/>
          <w:color w:val="auto"/>
        </w:rPr>
      </w:pPr>
      <w:r>
        <w:rPr>
          <w:rFonts w:ascii="Calibri" w:cs="Calibri" w:eastAsia="Calibri" w:hAnsi="Calibri"/>
          <w:sz w:val="14"/>
          <w:szCs w:val="14"/>
          <w:color w:val="auto"/>
        </w:rPr>
        <w:t>Informaton reportng requirements generally will apply to payments of dividends (including constructve dividends) on the common stock or pre-funded warrants and to the proceeds of a sale or other dispositon of common stock or pre-funded warrants paid to you unless you are an exempt recipient, such as certain corporatons. Backup withholding at a then current rate will apply to those payments if you fail to provide your taxpayer identfcaton number (generally in the form of a properly completed and executed IRS Form W-9), or certfcaton of exempt status, or if you otherwise fail to comply with applicable requirements to establish an exempton.</w:t>
      </w:r>
    </w:p>
    <w:p>
      <w:pPr>
        <w:spacing w:after="0" w:line="172" w:lineRule="exact"/>
        <w:rPr>
          <w:sz w:val="20"/>
          <w:szCs w:val="20"/>
          <w:color w:val="auto"/>
        </w:rPr>
      </w:pPr>
    </w:p>
    <w:p>
      <w:pPr>
        <w:jc w:val="both"/>
        <w:ind w:left="220" w:right="459"/>
        <w:spacing w:after="0" w:line="235" w:lineRule="auto"/>
        <w:rPr>
          <w:sz w:val="20"/>
          <w:szCs w:val="20"/>
          <w:color w:val="auto"/>
        </w:rPr>
      </w:pPr>
      <w:r>
        <w:rPr>
          <w:rFonts w:ascii="Calibri" w:cs="Calibri" w:eastAsia="Calibri" w:hAnsi="Calibri"/>
          <w:sz w:val="14"/>
          <w:szCs w:val="14"/>
          <w:color w:val="auto"/>
        </w:rPr>
        <w:t>Backup withholding is not an additonal tax; rather, the U.S. federal income tax liability of persons subject to backup withholding will be reduced by the amount of tax withheld. If withholding results in an overpayment of taxes, a refund or credit may generally be obtained from the IRS, provided that the required informaton is furnished to the IRS in a tmely manner.</w:t>
      </w:r>
    </w:p>
    <w:p>
      <w:pPr>
        <w:spacing w:after="0" w:line="250" w:lineRule="exact"/>
        <w:rPr>
          <w:sz w:val="20"/>
          <w:szCs w:val="20"/>
          <w:color w:val="auto"/>
        </w:rPr>
      </w:pPr>
    </w:p>
    <w:p>
      <w:pPr>
        <w:ind w:left="220"/>
        <w:spacing w:after="0"/>
        <w:rPr>
          <w:sz w:val="20"/>
          <w:szCs w:val="20"/>
          <w:color w:val="auto"/>
        </w:rPr>
      </w:pPr>
      <w:r>
        <w:rPr>
          <w:rFonts w:ascii="Calibri" w:cs="Calibri" w:eastAsia="Calibri" w:hAnsi="Calibri"/>
          <w:sz w:val="14"/>
          <w:szCs w:val="14"/>
          <w:b w:val="1"/>
          <w:bCs w:val="1"/>
          <w:i w:val="1"/>
          <w:iCs w:val="1"/>
          <w:color w:val="auto"/>
        </w:rPr>
        <w:t>Tax Consequences Applicable to Non-U.S. Holders</w:t>
      </w:r>
    </w:p>
    <w:p>
      <w:pPr>
        <w:spacing w:after="0" w:line="81" w:lineRule="exact"/>
        <w:rPr>
          <w:sz w:val="20"/>
          <w:szCs w:val="20"/>
          <w:color w:val="auto"/>
        </w:rPr>
      </w:pPr>
    </w:p>
    <w:p>
      <w:pPr>
        <w:ind w:left="220"/>
        <w:spacing w:after="0"/>
        <w:rPr>
          <w:sz w:val="20"/>
          <w:szCs w:val="20"/>
          <w:color w:val="auto"/>
        </w:rPr>
      </w:pPr>
      <w:r>
        <w:rPr>
          <w:rFonts w:ascii="Calibri" w:cs="Calibri" w:eastAsia="Calibri" w:hAnsi="Calibri"/>
          <w:sz w:val="14"/>
          <w:szCs w:val="14"/>
          <w:b w:val="1"/>
          <w:bCs w:val="1"/>
          <w:i w:val="1"/>
          <w:iCs w:val="1"/>
          <w:color w:val="auto"/>
        </w:rPr>
        <w:t>Distributons</w:t>
      </w:r>
    </w:p>
    <w:p>
      <w:pPr>
        <w:spacing w:after="0" w:line="85" w:lineRule="exact"/>
        <w:rPr>
          <w:sz w:val="20"/>
          <w:szCs w:val="20"/>
          <w:color w:val="auto"/>
        </w:rPr>
      </w:pPr>
    </w:p>
    <w:p>
      <w:pPr>
        <w:ind w:left="220" w:right="259"/>
        <w:spacing w:after="0" w:line="256" w:lineRule="auto"/>
        <w:rPr>
          <w:sz w:val="20"/>
          <w:szCs w:val="20"/>
          <w:color w:val="auto"/>
        </w:rPr>
      </w:pPr>
      <w:r>
        <w:rPr>
          <w:rFonts w:ascii="Calibri" w:cs="Calibri" w:eastAsia="Calibri" w:hAnsi="Calibri"/>
          <w:sz w:val="13"/>
          <w:szCs w:val="13"/>
          <w:color w:val="auto"/>
        </w:rPr>
        <w:t>As described above under “Tax Consequences Applicable to U.S. Holders – Distributons,” we do not intend to pay cash dividends to holders of our common stock in the foreseeable future. However, if we do make distributons on our common stock, those payments generally will consttute dividends for U.S. federal income tax purposes to the extent paid from our current or accumulated earnings and profts, as determined under U.S. federal income tax principles. To the extent those distributons exceed both our current and our accumulated earnings and profts, the excess will consttute a return of capital and will frst reduce your basis in our common stock, but not below zero, and then will be treated as gain from the sale of stock, treated as described below in “Tax Consequences Applicable to Non-U.S. Holders—Gain on Dispositon of Common Stock or Pre-Funded Warrants.”</w:t>
      </w:r>
    </w:p>
    <w:p>
      <w:pPr>
        <w:spacing w:after="0" w:line="161" w:lineRule="exact"/>
        <w:rPr>
          <w:sz w:val="20"/>
          <w:szCs w:val="20"/>
          <w:color w:val="auto"/>
        </w:rPr>
      </w:pPr>
    </w:p>
    <w:p>
      <w:pPr>
        <w:ind w:left="220" w:right="259"/>
        <w:spacing w:after="0" w:line="254" w:lineRule="auto"/>
        <w:rPr>
          <w:sz w:val="20"/>
          <w:szCs w:val="20"/>
          <w:color w:val="auto"/>
        </w:rPr>
      </w:pPr>
      <w:r>
        <w:rPr>
          <w:rFonts w:ascii="Calibri" w:cs="Calibri" w:eastAsia="Calibri" w:hAnsi="Calibri"/>
          <w:sz w:val="13"/>
          <w:szCs w:val="13"/>
          <w:color w:val="auto"/>
        </w:rPr>
        <w:t>Subject to the discussions below on efectvely connected income and Foreign Account Tax Compliance Act, or FATCA, any dividend paid to you generally will be subject to U.S. federal withholding tax either at a rate of 30% of the gross amount of the dividend or such lower rate as may be specifed by an applicable income tax treaty between the United States and your country of residence. In order to receive a reduced treaty rate, you must provide the applicable withholding agent with an IRS Form W-8BEN or W-8BEN-E or other appropriate version of IRS Form W-8 certfying qualifcaton for the reduced rate. A non-U.S. holder of shares of our common stock or pre-funded warrants eligible for a reduced rate of U.S. federal withholding tax pursuant to an income tax treaty may obtain a refund of any excess amounts withheld by tmely fling an appropriate claim for refund with the IRS. If the non-U.S. holder holds our common stock or pre-funded warrants through a fnancial insttuton or other agent actng on the non-U.S. holder’s behalf, the non-U.S. holder will be required to provide appropriate documentaton to the agent, which then will be required to provide certfcaton to the applicable withholding agent, either directly or through other intermediaries. Dividends received by you that are treated as efectvely connected with your conduct of a U.S. trade or business (and, if required by an applicable income tax treaty, such dividends are atributable to a permanent establishment or fxed base maintained by you in the United States) are generally exempt from the 30% U.S. federal withholding tax, subject to the discussion below on backup withholding and FATCA. In order to obtain this exempton, you must provide the applicable withholding agent with a properly executed IRS Form W-8ECI or other applicable IRS Form W-8 properly certfying such exempton. Such efectvely connected dividends, although not subject to U.S. federal withholding tax, are taxed at the same rates applicable to U.S. persons, net of certain deductons and credits, subject to an applicable income tax treaty providing otherwise. In additon, if you are a corporate non-U.S. holder, dividends you receive that are efectvely connected with your conduct of a U.S. trade or business may also be subject to a branch profts tax at a rate of 30% or such lower rate as may be specifed by an applicable income tax treaty between the United States and your country of residence. You should consult your tax advisor regarding the tax consequences of the ownership and dispositon of our common stock or pre-funded warrants, including any applicable tax treates that may provide for diferent rules.</w:t>
      </w:r>
    </w:p>
    <w:p>
      <w:pPr>
        <w:spacing w:after="0" w:line="281" w:lineRule="exact"/>
        <w:rPr>
          <w:sz w:val="20"/>
          <w:szCs w:val="20"/>
          <w:color w:val="auto"/>
        </w:rPr>
      </w:pPr>
    </w:p>
    <w:p>
      <w:pPr>
        <w:jc w:val="center"/>
        <w:ind w:right="19"/>
        <w:spacing w:after="0"/>
        <w:rPr>
          <w:sz w:val="20"/>
          <w:szCs w:val="20"/>
          <w:color w:val="auto"/>
        </w:rPr>
      </w:pPr>
      <w:r>
        <w:rPr>
          <w:rFonts w:ascii="Calibri" w:cs="Calibri" w:eastAsia="Calibri" w:hAnsi="Calibri"/>
          <w:sz w:val="14"/>
          <w:szCs w:val="14"/>
          <w:color w:val="auto"/>
        </w:rPr>
        <w:t>S-24</w:t>
      </w:r>
    </w:p>
    <w:p>
      <w:pPr>
        <w:sectPr>
          <w:pgSz w:w="11900" w:h="16838" w:orient="portrait"/>
          <w:cols w:equalWidth="0" w:num="1">
            <w:col w:w="9019"/>
          </w:cols>
          <w:pgMar w:left="1440" w:top="234" w:right="1440" w:bottom="1440" w:gutter="0" w:footer="0" w:header="0"/>
        </w:sectPr>
      </w:pPr>
    </w:p>
    <w:bookmarkStart w:id="26" w:name="page27"/>
    <w:bookmarkEnd w:id="26"/>
    <w:p>
      <w:pPr>
        <w:jc w:val="both"/>
        <w:ind w:left="220" w:right="339"/>
        <w:spacing w:after="0" w:line="235" w:lineRule="auto"/>
        <w:rPr>
          <w:sz w:val="20"/>
          <w:szCs w:val="20"/>
          <w:color w:val="auto"/>
        </w:rPr>
      </w:pPr>
      <w:r>
        <w:rPr>
          <w:rFonts w:ascii="Calibri" w:cs="Calibri" w:eastAsia="Calibri" w:hAnsi="Calibri"/>
          <w:sz w:val="14"/>
          <w:szCs w:val="14"/>
          <w:color w:val="auto"/>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The taxaton of a distributon received with respect to a pre-funded warrant is unclear. It is possible such a distributon would be treated as a distributon as described in this secton, although other treatments may also be possible. You should consult your own tax advisors regarding the proper treatment of any payments in respect of the pre-funded warrants.</w:t>
      </w:r>
    </w:p>
    <w:p>
      <w:pPr>
        <w:spacing w:after="0" w:line="250" w:lineRule="exact"/>
        <w:rPr>
          <w:sz w:val="20"/>
          <w:szCs w:val="20"/>
          <w:color w:val="auto"/>
        </w:rPr>
      </w:pPr>
    </w:p>
    <w:p>
      <w:pPr>
        <w:ind w:left="220"/>
        <w:spacing w:after="0"/>
        <w:rPr>
          <w:sz w:val="20"/>
          <w:szCs w:val="20"/>
          <w:color w:val="auto"/>
        </w:rPr>
      </w:pPr>
      <w:r>
        <w:rPr>
          <w:rFonts w:ascii="Calibri" w:cs="Calibri" w:eastAsia="Calibri" w:hAnsi="Calibri"/>
          <w:sz w:val="14"/>
          <w:szCs w:val="14"/>
          <w:b w:val="1"/>
          <w:bCs w:val="1"/>
          <w:i w:val="1"/>
          <w:iCs w:val="1"/>
          <w:color w:val="auto"/>
        </w:rPr>
        <w:t>Gain on Dispositon of Common Stock or Pre-Funded Warrants</w:t>
      </w:r>
    </w:p>
    <w:p>
      <w:pPr>
        <w:spacing w:after="0" w:line="85" w:lineRule="exact"/>
        <w:rPr>
          <w:sz w:val="20"/>
          <w:szCs w:val="20"/>
          <w:color w:val="auto"/>
        </w:rPr>
      </w:pPr>
    </w:p>
    <w:p>
      <w:pPr>
        <w:ind w:left="220" w:right="459"/>
        <w:spacing w:after="0" w:line="235" w:lineRule="auto"/>
        <w:rPr>
          <w:sz w:val="20"/>
          <w:szCs w:val="20"/>
          <w:color w:val="auto"/>
        </w:rPr>
      </w:pPr>
      <w:r>
        <w:rPr>
          <w:rFonts w:ascii="Calibri" w:cs="Calibri" w:eastAsia="Calibri" w:hAnsi="Calibri"/>
          <w:sz w:val="14"/>
          <w:szCs w:val="14"/>
          <w:color w:val="auto"/>
        </w:rPr>
        <w:t>Subject to the discussions below regarding backup withholding and FATCA, you generally will not be required to pay U.S. federal income tax on any gain realized upon the sale or other dispositon of our common stock or pre-funded warrants unless:</w:t>
      </w:r>
    </w:p>
    <w:p>
      <w:pPr>
        <w:spacing w:after="0" w:line="96" w:lineRule="exact"/>
        <w:rPr>
          <w:sz w:val="20"/>
          <w:szCs w:val="20"/>
          <w:color w:val="auto"/>
        </w:rPr>
      </w:pPr>
    </w:p>
    <w:p>
      <w:pPr>
        <w:ind w:left="980" w:right="299" w:hanging="341"/>
        <w:spacing w:after="0" w:line="235" w:lineRule="auto"/>
        <w:tabs>
          <w:tab w:leader="none" w:pos="980" w:val="left"/>
        </w:tabs>
        <w:numPr>
          <w:ilvl w:val="0"/>
          <w:numId w:val="17"/>
        </w:numPr>
        <w:rPr>
          <w:rFonts w:ascii="Calibri" w:cs="Calibri" w:eastAsia="Calibri" w:hAnsi="Calibri"/>
          <w:sz w:val="14"/>
          <w:szCs w:val="14"/>
          <w:color w:val="auto"/>
        </w:rPr>
      </w:pPr>
      <w:r>
        <w:rPr>
          <w:rFonts w:ascii="Calibri" w:cs="Calibri" w:eastAsia="Calibri" w:hAnsi="Calibri"/>
          <w:sz w:val="14"/>
          <w:szCs w:val="14"/>
          <w:color w:val="auto"/>
        </w:rPr>
        <w:t>the gain is efectvely connected with your conduct of a U.S. trade or business (and, if an applicable income tax treaty so provides, the gain is atributable to a permanent establishment or fxed base maintained by you in the United States);</w:t>
      </w:r>
    </w:p>
    <w:p>
      <w:pPr>
        <w:spacing w:after="0" w:line="95" w:lineRule="exact"/>
        <w:rPr>
          <w:rFonts w:ascii="Calibri" w:cs="Calibri" w:eastAsia="Calibri" w:hAnsi="Calibri"/>
          <w:sz w:val="14"/>
          <w:szCs w:val="14"/>
          <w:color w:val="auto"/>
        </w:rPr>
      </w:pPr>
    </w:p>
    <w:p>
      <w:pPr>
        <w:ind w:left="980" w:right="459" w:hanging="341"/>
        <w:spacing w:after="0" w:line="235" w:lineRule="auto"/>
        <w:tabs>
          <w:tab w:leader="none" w:pos="980" w:val="left"/>
        </w:tabs>
        <w:numPr>
          <w:ilvl w:val="0"/>
          <w:numId w:val="17"/>
        </w:numPr>
        <w:rPr>
          <w:rFonts w:ascii="Calibri" w:cs="Calibri" w:eastAsia="Calibri" w:hAnsi="Calibri"/>
          <w:sz w:val="14"/>
          <w:szCs w:val="14"/>
          <w:color w:val="auto"/>
        </w:rPr>
      </w:pPr>
      <w:r>
        <w:rPr>
          <w:rFonts w:ascii="Calibri" w:cs="Calibri" w:eastAsia="Calibri" w:hAnsi="Calibri"/>
          <w:sz w:val="14"/>
          <w:szCs w:val="14"/>
          <w:color w:val="auto"/>
        </w:rPr>
        <w:t>you are an individual who is present in the United States for a period or periods aggregatng 183 days or more during the calendar year in which the sale or dispositon occurs and certain other conditons are met; or</w:t>
      </w:r>
    </w:p>
    <w:p>
      <w:pPr>
        <w:spacing w:after="0" w:line="95" w:lineRule="exact"/>
        <w:rPr>
          <w:rFonts w:ascii="Calibri" w:cs="Calibri" w:eastAsia="Calibri" w:hAnsi="Calibri"/>
          <w:sz w:val="14"/>
          <w:szCs w:val="14"/>
          <w:color w:val="auto"/>
        </w:rPr>
      </w:pPr>
    </w:p>
    <w:p>
      <w:pPr>
        <w:ind w:left="980" w:right="719" w:hanging="341"/>
        <w:spacing w:after="0" w:line="235" w:lineRule="auto"/>
        <w:tabs>
          <w:tab w:leader="none" w:pos="980" w:val="left"/>
        </w:tabs>
        <w:numPr>
          <w:ilvl w:val="0"/>
          <w:numId w:val="17"/>
        </w:numPr>
        <w:rPr>
          <w:rFonts w:ascii="Calibri" w:cs="Calibri" w:eastAsia="Calibri" w:hAnsi="Calibri"/>
          <w:sz w:val="14"/>
          <w:szCs w:val="14"/>
          <w:color w:val="auto"/>
        </w:rPr>
      </w:pPr>
      <w:r>
        <w:rPr>
          <w:rFonts w:ascii="Calibri" w:cs="Calibri" w:eastAsia="Calibri" w:hAnsi="Calibri"/>
          <w:sz w:val="14"/>
          <w:szCs w:val="14"/>
          <w:color w:val="auto"/>
        </w:rPr>
        <w:t>our common stock consttutes a United States real property interest by reason of our status as a “United States real property holding corporaton,” or USRPHC, for U.S. federal income tax purposes at any tme within the shorter of the fve-year period preceding your dispositon of, or your holding period for, our common stock.</w:t>
      </w:r>
    </w:p>
    <w:p>
      <w:pPr>
        <w:spacing w:after="0" w:line="170" w:lineRule="exact"/>
        <w:rPr>
          <w:sz w:val="20"/>
          <w:szCs w:val="20"/>
          <w:color w:val="auto"/>
        </w:rPr>
      </w:pPr>
    </w:p>
    <w:p>
      <w:pPr>
        <w:ind w:left="220" w:right="239"/>
        <w:spacing w:after="0" w:line="235" w:lineRule="auto"/>
        <w:rPr>
          <w:sz w:val="20"/>
          <w:szCs w:val="20"/>
          <w:color w:val="auto"/>
        </w:rPr>
      </w:pPr>
      <w:r>
        <w:rPr>
          <w:rFonts w:ascii="Calibri" w:cs="Calibri" w:eastAsia="Calibri" w:hAnsi="Calibri"/>
          <w:sz w:val="14"/>
          <w:szCs w:val="14"/>
          <w:color w:val="auto"/>
        </w:rPr>
        <w:t>We believe that we are not currently and will not become a USRPHC for U.S. federal income tax purposes, and the remainder of this discussion so assumes. However, because the determinaton of whether we are a USRPHC depends on the fair market value of our U.S. real property interests relatve to the fair market value of our U.S. and worldwide real property interests plus our other business assets, there can be no assurance that we will not become a USRPHC in the future. Even if we become a USRPHC, however, as long as our common stock is regularly traded on an established securites market, your common stock will be treated as a U.S. real property interest only if you actually (directly or indirectly) or constructvely hold more than fve percent of such regularly traded common stock at any tme during the shorter of the fve-year period preceding your dispositon of, or your holding period for, our common stock. Special rules may apply to non-U.S. holders of pre-funded warrants, who should consult their tax advisors.</w:t>
      </w:r>
    </w:p>
    <w:p>
      <w:pPr>
        <w:spacing w:after="0" w:line="173" w:lineRule="exact"/>
        <w:rPr>
          <w:sz w:val="20"/>
          <w:szCs w:val="20"/>
          <w:color w:val="auto"/>
        </w:rPr>
      </w:pPr>
    </w:p>
    <w:p>
      <w:pPr>
        <w:ind w:left="220" w:right="279"/>
        <w:spacing w:after="0" w:line="235" w:lineRule="auto"/>
        <w:rPr>
          <w:sz w:val="20"/>
          <w:szCs w:val="20"/>
          <w:color w:val="auto"/>
        </w:rPr>
      </w:pPr>
      <w:r>
        <w:rPr>
          <w:rFonts w:ascii="Calibri" w:cs="Calibri" w:eastAsia="Calibri" w:hAnsi="Calibri"/>
          <w:sz w:val="14"/>
          <w:szCs w:val="14"/>
          <w:color w:val="auto"/>
        </w:rPr>
        <w:t>If you are a non-U.S. holder described in the frst bullet above, you generally will be required to pay tax on the gain derived from the sale (net of certain deductons and credits) under regular U.S. federal income tax rates applicable to U.S. persons, and a corporate non-U.S. holder described in the frst bullet above also may be subject to the branch profts tax at a 30% rate, or such lower rate as may be specifed by an applicable income tax treaty. If you are an individual non-U.S. holder described in the second bullet above, you will be subject to tax at 30% (or such lower rate specifed by an applicable income tax treaty) on the gain derived from the sale, which gain may be ofset by U.S. source capital losses for the year, provided you have tmely fled U.S. federal income tax returns with respect to such losses. You should consult your tax advisor regarding any applicable income tax treates or other agreements that may provide for diferent rules.</w:t>
      </w:r>
    </w:p>
    <w:p>
      <w:pPr>
        <w:spacing w:after="0" w:line="253" w:lineRule="exact"/>
        <w:rPr>
          <w:sz w:val="20"/>
          <w:szCs w:val="20"/>
          <w:color w:val="auto"/>
        </w:rPr>
      </w:pPr>
    </w:p>
    <w:p>
      <w:pPr>
        <w:ind w:left="220"/>
        <w:spacing w:after="0"/>
        <w:rPr>
          <w:sz w:val="20"/>
          <w:szCs w:val="20"/>
          <w:color w:val="auto"/>
        </w:rPr>
      </w:pPr>
      <w:r>
        <w:rPr>
          <w:rFonts w:ascii="Calibri" w:cs="Calibri" w:eastAsia="Calibri" w:hAnsi="Calibri"/>
          <w:sz w:val="14"/>
          <w:szCs w:val="14"/>
          <w:b w:val="1"/>
          <w:bCs w:val="1"/>
          <w:i w:val="1"/>
          <w:iCs w:val="1"/>
          <w:color w:val="auto"/>
        </w:rPr>
        <w:t>Certain Adjustments to Pre-Funded Warrants</w:t>
      </w:r>
    </w:p>
    <w:p>
      <w:pPr>
        <w:spacing w:after="0" w:line="85" w:lineRule="exact"/>
        <w:rPr>
          <w:sz w:val="20"/>
          <w:szCs w:val="20"/>
          <w:color w:val="auto"/>
        </w:rPr>
      </w:pPr>
    </w:p>
    <w:p>
      <w:pPr>
        <w:ind w:left="220" w:right="259"/>
        <w:spacing w:after="0" w:line="235" w:lineRule="auto"/>
        <w:rPr>
          <w:sz w:val="20"/>
          <w:szCs w:val="20"/>
          <w:color w:val="auto"/>
        </w:rPr>
      </w:pPr>
      <w:r>
        <w:rPr>
          <w:rFonts w:ascii="Calibri" w:cs="Calibri" w:eastAsia="Calibri" w:hAnsi="Calibri"/>
          <w:sz w:val="14"/>
          <w:szCs w:val="14"/>
          <w:color w:val="auto"/>
        </w:rPr>
        <w:t>Under Secton 305 of the Code, an adjustment to the number of shares of common stock that will be issued on the exercise of the pre-funded warrants, or an adjustment to the exercise price of the pre-funded warrants, may be treated as a constructve distributon to you of the pre-funded warrants if, and to the extent that, such adjustment has the efect of increasing your proportonate interest in our “earnings and profts” or assets, depending on the circumstances of such adjustment (for example, if such adjustment is to compensate for a distributon of cash or other property to our shareholders). Any such adjustment that is treated as a</w:t>
      </w:r>
    </w:p>
    <w:p>
      <w:pPr>
        <w:spacing w:after="0" w:line="115" w:lineRule="exact"/>
        <w:rPr>
          <w:sz w:val="20"/>
          <w:szCs w:val="20"/>
          <w:color w:val="auto"/>
        </w:rPr>
      </w:pPr>
    </w:p>
    <w:p>
      <w:pPr>
        <w:jc w:val="center"/>
        <w:ind w:right="19"/>
        <w:spacing w:after="0"/>
        <w:rPr>
          <w:sz w:val="20"/>
          <w:szCs w:val="20"/>
          <w:color w:val="auto"/>
        </w:rPr>
      </w:pPr>
      <w:r>
        <w:rPr>
          <w:rFonts w:ascii="Calibri" w:cs="Calibri" w:eastAsia="Calibri" w:hAnsi="Calibri"/>
          <w:sz w:val="14"/>
          <w:szCs w:val="14"/>
          <w:color w:val="auto"/>
        </w:rPr>
        <w:t>S-25</w:t>
      </w:r>
    </w:p>
    <w:p>
      <w:pPr>
        <w:sectPr>
          <w:pgSz w:w="11900" w:h="16838" w:orient="portrait"/>
          <w:cols w:equalWidth="0" w:num="1">
            <w:col w:w="9019"/>
          </w:cols>
          <w:pgMar w:left="1440" w:top="238" w:right="1440" w:bottom="1440" w:gutter="0" w:footer="0" w:header="0"/>
        </w:sectPr>
      </w:pPr>
    </w:p>
    <w:bookmarkStart w:id="27" w:name="page28"/>
    <w:bookmarkEnd w:id="27"/>
    <w:p>
      <w:pPr>
        <w:ind w:left="220" w:right="459"/>
        <w:spacing w:after="0" w:line="235" w:lineRule="auto"/>
        <w:rPr>
          <w:sz w:val="20"/>
          <w:szCs w:val="20"/>
          <w:color w:val="auto"/>
        </w:rPr>
      </w:pPr>
      <w:r>
        <w:rPr>
          <w:rFonts w:ascii="Calibri" w:cs="Calibri" w:eastAsia="Calibri" w:hAnsi="Calibri"/>
          <w:sz w:val="14"/>
          <w:szCs w:val="14"/>
          <w:color w:val="auto"/>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01535" cy="32385"/>
                    </a:xfrm>
                    <a:prstGeom prst="rect">
                      <a:avLst/>
                    </a:prstGeom>
                    <a:noFill/>
                  </pic:spPr>
                </pic:pic>
              </a:graphicData>
            </a:graphic>
          </wp:anchor>
        </w:drawing>
        <w:t>constructve distributon would be treated as a dividend, subject to withholding, to the extent described above under “Tax Consequences Applicable to Non-U.S. Holders—Distributons.” You should consult your tax advisor regarding the proper tax treatment of any such adjustment.</w:t>
      </w:r>
    </w:p>
    <w:p>
      <w:pPr>
        <w:spacing w:after="0" w:line="250" w:lineRule="exact"/>
        <w:rPr>
          <w:sz w:val="20"/>
          <w:szCs w:val="20"/>
          <w:color w:val="auto"/>
        </w:rPr>
      </w:pPr>
    </w:p>
    <w:p>
      <w:pPr>
        <w:ind w:left="220"/>
        <w:spacing w:after="0"/>
        <w:rPr>
          <w:sz w:val="20"/>
          <w:szCs w:val="20"/>
          <w:color w:val="auto"/>
        </w:rPr>
      </w:pPr>
      <w:r>
        <w:rPr>
          <w:rFonts w:ascii="Calibri" w:cs="Calibri" w:eastAsia="Calibri" w:hAnsi="Calibri"/>
          <w:sz w:val="14"/>
          <w:szCs w:val="14"/>
          <w:b w:val="1"/>
          <w:bCs w:val="1"/>
          <w:i w:val="1"/>
          <w:iCs w:val="1"/>
          <w:color w:val="auto"/>
        </w:rPr>
        <w:t>Backup Withholding and Informaton Reportng</w:t>
      </w:r>
    </w:p>
    <w:p>
      <w:pPr>
        <w:spacing w:after="0" w:line="85" w:lineRule="exact"/>
        <w:rPr>
          <w:sz w:val="20"/>
          <w:szCs w:val="20"/>
          <w:color w:val="auto"/>
        </w:rPr>
      </w:pPr>
    </w:p>
    <w:p>
      <w:pPr>
        <w:ind w:left="220" w:right="339"/>
        <w:spacing w:after="0" w:line="235" w:lineRule="auto"/>
        <w:rPr>
          <w:sz w:val="20"/>
          <w:szCs w:val="20"/>
          <w:color w:val="auto"/>
        </w:rPr>
      </w:pPr>
      <w:r>
        <w:rPr>
          <w:rFonts w:ascii="Calibri" w:cs="Calibri" w:eastAsia="Calibri" w:hAnsi="Calibri"/>
          <w:sz w:val="14"/>
          <w:szCs w:val="14"/>
          <w:color w:val="auto"/>
        </w:rPr>
        <w:t>Generally, we or the applicable paying agent must report annually to the IRS the amount of distributons paid to you, your name and address, and the amount of tax withheld, if any. These informaton reportng requirements apply even if no withholding was required (because the distributons were efectvely connected with the holder’s conduct of a U.S. trade or business, or withholding was reduced or eliminated by an applicable income tax treaty) and regardless of whether such distributons consttute dividends. A similar report will be sent to you. Pursuant to applicable income tax treates or other agreements, the IRS may make these reports available to tax authorites in your country of residence.</w:t>
      </w:r>
    </w:p>
    <w:p>
      <w:pPr>
        <w:spacing w:after="0" w:line="172" w:lineRule="exact"/>
        <w:rPr>
          <w:sz w:val="20"/>
          <w:szCs w:val="20"/>
          <w:color w:val="auto"/>
        </w:rPr>
      </w:pPr>
    </w:p>
    <w:p>
      <w:pPr>
        <w:ind w:left="220" w:right="239"/>
        <w:spacing w:after="0" w:line="235" w:lineRule="auto"/>
        <w:rPr>
          <w:sz w:val="20"/>
          <w:szCs w:val="20"/>
          <w:color w:val="auto"/>
        </w:rPr>
      </w:pPr>
      <w:r>
        <w:rPr>
          <w:rFonts w:ascii="Calibri" w:cs="Calibri" w:eastAsia="Calibri" w:hAnsi="Calibri"/>
          <w:sz w:val="14"/>
          <w:szCs w:val="14"/>
          <w:color w:val="auto"/>
        </w:rPr>
        <w:t>Payments of dividends on or of proceeds from the dispositon of our common stock or pre-funded warrants made to you will generally be subject to informaton reportng and backup withholding at a current rate of 24% unless you establish an exempton, for example, by properly certfying your non-U.S. status on a properly completed IRS Form W-8BEN or W-8BEN-E, or W-8ECI or another appropriate version of IRS Form W-8 or you otherwise meet the documentary evidence requirements for establishing that you are not a U.S. person or otherwise establish an exempton. Notwithstanding the foregoing, backup withholding and informaton reportng may apply if the applicable withholding agent has actual knowledge, or reason to know, that you are a U.S. person.</w:t>
      </w:r>
    </w:p>
    <w:p>
      <w:pPr>
        <w:spacing w:after="0" w:line="172" w:lineRule="exact"/>
        <w:rPr>
          <w:sz w:val="20"/>
          <w:szCs w:val="20"/>
          <w:color w:val="auto"/>
        </w:rPr>
      </w:pPr>
    </w:p>
    <w:p>
      <w:pPr>
        <w:jc w:val="both"/>
        <w:ind w:left="220" w:right="459"/>
        <w:spacing w:after="0" w:line="235" w:lineRule="auto"/>
        <w:rPr>
          <w:sz w:val="20"/>
          <w:szCs w:val="20"/>
          <w:color w:val="auto"/>
        </w:rPr>
      </w:pPr>
      <w:r>
        <w:rPr>
          <w:rFonts w:ascii="Calibri" w:cs="Calibri" w:eastAsia="Calibri" w:hAnsi="Calibri"/>
          <w:sz w:val="14"/>
          <w:szCs w:val="14"/>
          <w:color w:val="auto"/>
        </w:rPr>
        <w:t>Backup withholding is not an additonal tax; rather, the U.S. federal income tax liability of persons subject to backup withholding will be reduced by the amount of tax withheld. If withholding results in an overpayment of taxes, a refund or credit may generally be obtained from the IRS, provided that the required informaton is furnished to the IRS in a tmely manner.</w:t>
      </w:r>
    </w:p>
    <w:p>
      <w:pPr>
        <w:spacing w:after="0" w:line="250" w:lineRule="exact"/>
        <w:rPr>
          <w:sz w:val="20"/>
          <w:szCs w:val="20"/>
          <w:color w:val="auto"/>
        </w:rPr>
      </w:pPr>
    </w:p>
    <w:p>
      <w:pPr>
        <w:ind w:left="220"/>
        <w:spacing w:after="0"/>
        <w:rPr>
          <w:sz w:val="20"/>
          <w:szCs w:val="20"/>
          <w:color w:val="auto"/>
        </w:rPr>
      </w:pPr>
      <w:r>
        <w:rPr>
          <w:rFonts w:ascii="Calibri" w:cs="Calibri" w:eastAsia="Calibri" w:hAnsi="Calibri"/>
          <w:sz w:val="14"/>
          <w:szCs w:val="14"/>
          <w:b w:val="1"/>
          <w:bCs w:val="1"/>
          <w:i w:val="1"/>
          <w:iCs w:val="1"/>
          <w:color w:val="auto"/>
        </w:rPr>
        <w:t>Foreign Account Tax Compliance Act</w:t>
      </w:r>
    </w:p>
    <w:p>
      <w:pPr>
        <w:spacing w:after="0" w:line="85" w:lineRule="exact"/>
        <w:rPr>
          <w:sz w:val="20"/>
          <w:szCs w:val="20"/>
          <w:color w:val="auto"/>
        </w:rPr>
      </w:pPr>
    </w:p>
    <w:p>
      <w:pPr>
        <w:ind w:left="220" w:right="239"/>
        <w:spacing w:after="0" w:line="235" w:lineRule="auto"/>
        <w:rPr>
          <w:sz w:val="20"/>
          <w:szCs w:val="20"/>
          <w:color w:val="auto"/>
        </w:rPr>
      </w:pPr>
      <w:r>
        <w:rPr>
          <w:rFonts w:ascii="Calibri" w:cs="Calibri" w:eastAsia="Calibri" w:hAnsi="Calibri"/>
          <w:sz w:val="14"/>
          <w:szCs w:val="14"/>
          <w:color w:val="auto"/>
        </w:rPr>
        <w:t>Provisions of the Code commonly referred to as FATCA, Treasury regulatons issued thereunder and ofcial IRS guidance generally impose a U.S. federal withholding tax of 30% on dividends on, and, subject to the discussion of certain proposed Treasury regulatons below, the gross proceeds from a sale or other dispositon of our common stock or pre-funded warrants, paid to a “foreign fnancial insttuton” (as specially defned under these rules), unless such insttuton enters into an agreement with the U.S. government to, among other things, withhold on certain payments and to collect and provide to the U.S. tax authorites substantal informaton regarding the U.S. account holders of such insttuton (which includes certain equity and debt holders of such insttuton, as well as certain account holders that are foreign enttes with U.S. owners) or otherwise establishes an exempton from FATCA withholding. FATCA also generally imposes a U.S. federal withholding tax of 30% on dividends on, and, subject to the discussion of certain proposed Treasury regulatons below, the gross proceeds from, a sale or other dispositon of our common stock or pre-funded warrants paid to a “non-fnancial foreign entty” (as specially defned under these rules), unless such entty provides the withholding agent with a certfcaton identfying the substantal direct and indirect U.S. owners of the entty, certfes that it does not have any substantal U.S. owners, or otherwise establishes an exempton.</w:t>
      </w:r>
    </w:p>
    <w:p>
      <w:pPr>
        <w:spacing w:after="0" w:line="175" w:lineRule="exact"/>
        <w:rPr>
          <w:sz w:val="20"/>
          <w:szCs w:val="20"/>
          <w:color w:val="auto"/>
        </w:rPr>
      </w:pPr>
    </w:p>
    <w:p>
      <w:pPr>
        <w:ind w:left="220" w:right="299"/>
        <w:spacing w:after="0" w:line="257" w:lineRule="auto"/>
        <w:rPr>
          <w:sz w:val="20"/>
          <w:szCs w:val="20"/>
          <w:color w:val="auto"/>
        </w:rPr>
      </w:pPr>
      <w:r>
        <w:rPr>
          <w:rFonts w:ascii="Calibri" w:cs="Calibri" w:eastAsia="Calibri" w:hAnsi="Calibri"/>
          <w:sz w:val="13"/>
          <w:szCs w:val="13"/>
          <w:color w:val="auto"/>
        </w:rPr>
        <w:t>The withholding obligatons under FATCA generally apply to dividends on our common stock or pre-funded warrants and subject to the proposed Treasury regulatons described in the next sentence, will apply to the payment of gross proceeds of a sale or other dispositon of our common stock or pre-funded warrants. The Treasury Department has released proposed Treasury regulatons (the preamble to which specifes that taxpayers are permited to rely on them pending fnalizaton) that, if fnalized in their present form, would eliminate the federal withholding tax of 30% applicable to the gross proceeds of a dispositon of our common stock or pre-funded warrants. The withholding tax on dividends will apply regardless of whether the payment</w:t>
      </w:r>
    </w:p>
    <w:p>
      <w:pPr>
        <w:spacing w:after="0" w:line="102" w:lineRule="exact"/>
        <w:rPr>
          <w:sz w:val="20"/>
          <w:szCs w:val="20"/>
          <w:color w:val="auto"/>
        </w:rPr>
      </w:pPr>
    </w:p>
    <w:p>
      <w:pPr>
        <w:jc w:val="center"/>
        <w:ind w:right="19"/>
        <w:spacing w:after="0"/>
        <w:rPr>
          <w:sz w:val="20"/>
          <w:szCs w:val="20"/>
          <w:color w:val="auto"/>
        </w:rPr>
      </w:pPr>
      <w:r>
        <w:rPr>
          <w:rFonts w:ascii="Calibri" w:cs="Calibri" w:eastAsia="Calibri" w:hAnsi="Calibri"/>
          <w:sz w:val="14"/>
          <w:szCs w:val="14"/>
          <w:color w:val="auto"/>
        </w:rPr>
        <w:t>S-26</w:t>
      </w:r>
    </w:p>
    <w:p>
      <w:pPr>
        <w:sectPr>
          <w:pgSz w:w="11900" w:h="16838" w:orient="portrait"/>
          <w:cols w:equalWidth="0" w:num="1">
            <w:col w:w="9019"/>
          </w:cols>
          <w:pgMar w:left="1440" w:top="238" w:right="1440" w:bottom="1440" w:gutter="0" w:footer="0" w:header="0"/>
        </w:sectPr>
      </w:pPr>
    </w:p>
    <w:bookmarkStart w:id="28" w:name="page29"/>
    <w:bookmarkEnd w:id="28"/>
    <w:p>
      <w:pPr>
        <w:ind w:left="220" w:right="259"/>
        <w:spacing w:after="0" w:line="235" w:lineRule="auto"/>
        <w:rPr>
          <w:sz w:val="20"/>
          <w:szCs w:val="20"/>
          <w:color w:val="auto"/>
        </w:rPr>
      </w:pPr>
      <w:r>
        <w:rPr>
          <w:rFonts w:ascii="Calibri" w:cs="Calibri" w:eastAsia="Calibri" w:hAnsi="Calibri"/>
          <w:sz w:val="14"/>
          <w:szCs w:val="14"/>
          <w:color w:val="auto"/>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01535" cy="32385"/>
                    </a:xfrm>
                    <a:prstGeom prst="rect">
                      <a:avLst/>
                    </a:prstGeom>
                    <a:noFill/>
                  </pic:spPr>
                </pic:pic>
              </a:graphicData>
            </a:graphic>
          </wp:anchor>
        </w:drawing>
        <w:t>otherwise would be exempt from U.S. non-resident and backup withholding tax, including under the exemptons described above. Under certain circumstances, a non-U.S. holder might be eligible for refunds or credits of such taxes. An intergovernmental agreement between the United States and an applicable foreign country may modify the requirements described in this secton. Prospectve investors are encouraged to consult with their own tax advisors regarding the applicaton of FATCA withholding to their investment in, and ownership and dispositon of, our common stock or pre-funded warrants.</w:t>
      </w:r>
    </w:p>
    <w:p>
      <w:pPr>
        <w:spacing w:after="0" w:line="172" w:lineRule="exact"/>
        <w:rPr>
          <w:sz w:val="20"/>
          <w:szCs w:val="20"/>
          <w:color w:val="auto"/>
        </w:rPr>
      </w:pPr>
    </w:p>
    <w:p>
      <w:pPr>
        <w:ind w:left="220" w:right="319"/>
        <w:spacing w:after="0" w:line="235" w:lineRule="auto"/>
        <w:rPr>
          <w:sz w:val="20"/>
          <w:szCs w:val="20"/>
          <w:color w:val="auto"/>
        </w:rPr>
      </w:pPr>
      <w:r>
        <w:rPr>
          <w:rFonts w:ascii="Calibri" w:cs="Calibri" w:eastAsia="Calibri" w:hAnsi="Calibri"/>
          <w:sz w:val="14"/>
          <w:szCs w:val="14"/>
          <w:b w:val="1"/>
          <w:bCs w:val="1"/>
          <w:color w:val="auto"/>
        </w:rPr>
        <w:t>The preceding discussion of U.S. federal tax consideratons is for general informaton only. It is not tax advice to investors in their partcular circumstances. Each prospectve investor should consult its own tax advisor regarding the partcular U.S. federal, state and local and non-U.S. tax consequences of purchasing, holding and disposing of our common stock or pre-funded warrants, including the consequences of any proposed change in applicable laws.</w:t>
      </w:r>
    </w:p>
    <w:p>
      <w:pPr>
        <w:spacing w:after="0" w:line="114" w:lineRule="exact"/>
        <w:rPr>
          <w:sz w:val="20"/>
          <w:szCs w:val="20"/>
          <w:color w:val="auto"/>
        </w:rPr>
      </w:pPr>
    </w:p>
    <w:p>
      <w:pPr>
        <w:jc w:val="center"/>
        <w:spacing w:after="0"/>
        <w:rPr>
          <w:sz w:val="20"/>
          <w:szCs w:val="20"/>
          <w:color w:val="auto"/>
        </w:rPr>
      </w:pPr>
      <w:r>
        <w:rPr>
          <w:rFonts w:ascii="Calibri" w:cs="Calibri" w:eastAsia="Calibri" w:hAnsi="Calibri"/>
          <w:sz w:val="14"/>
          <w:szCs w:val="14"/>
          <w:color w:val="auto"/>
        </w:rPr>
        <w:t>S-27</w:t>
      </w:r>
    </w:p>
    <w:p>
      <w:pPr>
        <w:sectPr>
          <w:pgSz w:w="11900" w:h="16838" w:orient="portrait"/>
          <w:cols w:equalWidth="0" w:num="1">
            <w:col w:w="9019"/>
          </w:cols>
          <w:pgMar w:left="1440" w:top="238" w:right="1440" w:bottom="1440" w:gutter="0" w:footer="0" w:header="0"/>
        </w:sectPr>
      </w:pPr>
    </w:p>
    <w:bookmarkStart w:id="29" w:name="page30"/>
    <w:bookmarkEnd w:id="29"/>
    <w:p>
      <w:pPr>
        <w:jc w:val="center"/>
        <w:ind w:right="19"/>
        <w:spacing w:after="0"/>
        <w:rPr>
          <w:sz w:val="20"/>
          <w:szCs w:val="20"/>
          <w:color w:val="auto"/>
        </w:rPr>
      </w:pPr>
      <w:r>
        <w:rPr>
          <w:rFonts w:ascii="Calibri" w:cs="Calibri" w:eastAsia="Calibri" w:hAnsi="Calibri"/>
          <w:sz w:val="14"/>
          <w:szCs w:val="14"/>
          <w:b w:val="1"/>
          <w:bCs w:val="1"/>
          <w:color w:val="auto"/>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01535" cy="32385"/>
                    </a:xfrm>
                    <a:prstGeom prst="rect">
                      <a:avLst/>
                    </a:prstGeom>
                    <a:noFill/>
                  </pic:spPr>
                </pic:pic>
              </a:graphicData>
            </a:graphic>
          </wp:anchor>
        </w:drawing>
        <w:t>UNDERWRITING</w:t>
      </w:r>
    </w:p>
    <w:p>
      <w:pPr>
        <w:spacing w:after="0" w:line="169" w:lineRule="exact"/>
        <w:rPr>
          <w:sz w:val="20"/>
          <w:szCs w:val="20"/>
          <w:color w:val="auto"/>
        </w:rPr>
      </w:pPr>
    </w:p>
    <w:p>
      <w:pPr>
        <w:ind w:left="220" w:right="319"/>
        <w:spacing w:after="0" w:line="258" w:lineRule="auto"/>
        <w:rPr>
          <w:sz w:val="20"/>
          <w:szCs w:val="20"/>
          <w:color w:val="auto"/>
        </w:rPr>
      </w:pPr>
      <w:r>
        <w:rPr>
          <w:rFonts w:ascii="Calibri" w:cs="Calibri" w:eastAsia="Calibri" w:hAnsi="Calibri"/>
          <w:sz w:val="13"/>
          <w:szCs w:val="13"/>
          <w:color w:val="auto"/>
        </w:rPr>
        <w:t>Subject to the terms and conditons set forth in the underwritng agreement, dated June 11, 2026, among us and Jeferies LLC, Goldman Sachs &amp; Co. LLC, Morgan Stanley &amp; Co. LLC and Barclays Capital Inc., as the representatves of the several underwriters named below and the joint book-running managers of this ofering (the “Underwritng Agreement”), we have agreed to sell to the underwriters, and each of the underwriters has agreed, severally and not jointly, to purchase from us, the respectve number of shares of common stock and pre-funded warrants shown opposite its name below:</w:t>
      </w:r>
    </w:p>
    <w:p>
      <w:pPr>
        <w:spacing w:after="0" w:line="183" w:lineRule="exact"/>
        <w:rPr>
          <w:sz w:val="20"/>
          <w:szCs w:val="20"/>
          <w:color w:val="auto"/>
        </w:rPr>
      </w:pPr>
    </w:p>
    <w:tbl>
      <w:tblPr>
        <w:tblLayout w:type="fixed"/>
        <w:tblInd w:w="1240" w:type="dxa"/>
        <w:tblCellMar>
          <w:top w:w="0" w:type="dxa"/>
          <w:left w:w="0" w:type="dxa"/>
          <w:bottom w:w="0" w:type="dxa"/>
          <w:right w:w="0" w:type="dxa"/>
        </w:tblCellMar>
      </w:tblPr>
      <w:tr>
        <w:trPr>
          <w:trHeight w:val="134"/>
        </w:trPr>
        <w:tc>
          <w:tcPr>
            <w:tcW w:w="580" w:type="dxa"/>
            <w:vAlign w:val="bottom"/>
          </w:tcPr>
          <w:p>
            <w:pPr>
              <w:spacing w:after="0"/>
              <w:rPr>
                <w:sz w:val="11"/>
                <w:szCs w:val="11"/>
                <w:color w:val="auto"/>
              </w:rPr>
            </w:pPr>
          </w:p>
        </w:tc>
        <w:tc>
          <w:tcPr>
            <w:tcW w:w="41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gridSpan w:val="2"/>
          </w:tcPr>
          <w:p>
            <w:pPr>
              <w:jc w:val="center"/>
              <w:ind w:right="60"/>
              <w:spacing w:after="0"/>
              <w:rPr>
                <w:sz w:val="20"/>
                <w:szCs w:val="20"/>
                <w:color w:val="auto"/>
              </w:rPr>
            </w:pPr>
            <w:r>
              <w:rPr>
                <w:rFonts w:ascii="Calibri" w:cs="Calibri" w:eastAsia="Calibri" w:hAnsi="Calibri"/>
                <w:sz w:val="11"/>
                <w:szCs w:val="11"/>
                <w:b w:val="1"/>
                <w:bCs w:val="1"/>
                <w:color w:val="auto"/>
              </w:rPr>
              <w:t>Number of</w:t>
            </w:r>
          </w:p>
        </w:tc>
        <w:tc>
          <w:tcPr>
            <w:tcW w:w="0" w:type="dxa"/>
            <w:vAlign w:val="bottom"/>
          </w:tcPr>
          <w:p>
            <w:pPr>
              <w:spacing w:after="0"/>
              <w:rPr>
                <w:sz w:val="1"/>
                <w:szCs w:val="1"/>
                <w:color w:val="auto"/>
              </w:rPr>
            </w:pPr>
          </w:p>
        </w:tc>
      </w:tr>
      <w:tr>
        <w:trPr>
          <w:trHeight w:val="137"/>
        </w:trPr>
        <w:tc>
          <w:tcPr>
            <w:tcW w:w="4760" w:type="dxa"/>
            <w:vAlign w:val="bottom"/>
            <w:gridSpan w:val="2"/>
            <w:vMerge w:val="restart"/>
          </w:tcPr>
          <w:p>
            <w:pPr>
              <w:spacing w:after="0"/>
              <w:rPr>
                <w:sz w:val="20"/>
                <w:szCs w:val="20"/>
                <w:color w:val="auto"/>
              </w:rPr>
            </w:pPr>
            <w:r>
              <w:rPr>
                <w:rFonts w:ascii="Calibri" w:cs="Calibri" w:eastAsia="Calibri" w:hAnsi="Calibri"/>
                <w:sz w:val="11"/>
                <w:szCs w:val="11"/>
                <w:b w:val="1"/>
                <w:bCs w:val="1"/>
                <w:color w:val="auto"/>
              </w:rPr>
              <w:t>Underwriter</w:t>
            </w:r>
          </w:p>
        </w:tc>
        <w:tc>
          <w:tcPr>
            <w:tcW w:w="960" w:type="dxa"/>
            <w:vAlign w:val="bottom"/>
            <w:gridSpan w:val="2"/>
          </w:tcPr>
          <w:p>
            <w:pPr>
              <w:jc w:val="center"/>
              <w:ind w:right="220"/>
              <w:spacing w:after="0"/>
              <w:rPr>
                <w:sz w:val="20"/>
                <w:szCs w:val="20"/>
                <w:color w:val="auto"/>
              </w:rPr>
            </w:pPr>
            <w:r>
              <w:rPr>
                <w:rFonts w:ascii="Calibri" w:cs="Calibri" w:eastAsia="Calibri" w:hAnsi="Calibri"/>
                <w:sz w:val="11"/>
                <w:szCs w:val="11"/>
                <w:b w:val="1"/>
                <w:bCs w:val="1"/>
                <w:color w:val="auto"/>
              </w:rPr>
              <w:t>Number of</w:t>
            </w:r>
          </w:p>
        </w:tc>
        <w:tc>
          <w:tcPr>
            <w:tcW w:w="800" w:type="dxa"/>
            <w:vAlign w:val="bottom"/>
            <w:gridSpan w:val="2"/>
          </w:tcPr>
          <w:p>
            <w:pPr>
              <w:jc w:val="center"/>
              <w:ind w:right="60"/>
              <w:spacing w:after="0"/>
              <w:rPr>
                <w:sz w:val="20"/>
                <w:szCs w:val="20"/>
                <w:color w:val="auto"/>
              </w:rPr>
            </w:pPr>
            <w:r>
              <w:rPr>
                <w:rFonts w:ascii="Calibri" w:cs="Calibri" w:eastAsia="Calibri" w:hAnsi="Calibri"/>
                <w:sz w:val="11"/>
                <w:szCs w:val="11"/>
                <w:b w:val="1"/>
                <w:bCs w:val="1"/>
                <w:color w:val="auto"/>
              </w:rPr>
              <w:t>Pre-Funded</w:t>
            </w:r>
          </w:p>
        </w:tc>
        <w:tc>
          <w:tcPr>
            <w:tcW w:w="0" w:type="dxa"/>
            <w:vAlign w:val="bottom"/>
          </w:tcPr>
          <w:p>
            <w:pPr>
              <w:spacing w:after="0"/>
              <w:rPr>
                <w:sz w:val="1"/>
                <w:szCs w:val="1"/>
                <w:color w:val="auto"/>
              </w:rPr>
            </w:pPr>
          </w:p>
        </w:tc>
      </w:tr>
      <w:tr>
        <w:trPr>
          <w:trHeight w:val="139"/>
        </w:trPr>
        <w:tc>
          <w:tcPr>
            <w:tcW w:w="4760" w:type="dxa"/>
            <w:vAlign w:val="bottom"/>
            <w:gridSpan w:val="2"/>
            <w:vMerge w:val="continue"/>
          </w:tcPr>
          <w:p>
            <w:pPr>
              <w:spacing w:after="0"/>
              <w:rPr>
                <w:sz w:val="12"/>
                <w:szCs w:val="12"/>
                <w:color w:val="auto"/>
              </w:rPr>
            </w:pPr>
          </w:p>
        </w:tc>
        <w:tc>
          <w:tcPr>
            <w:tcW w:w="960" w:type="dxa"/>
            <w:vAlign w:val="bottom"/>
            <w:gridSpan w:val="2"/>
          </w:tcPr>
          <w:p>
            <w:pPr>
              <w:jc w:val="center"/>
              <w:ind w:right="240"/>
              <w:spacing w:after="0"/>
              <w:rPr>
                <w:sz w:val="20"/>
                <w:szCs w:val="20"/>
                <w:color w:val="auto"/>
              </w:rPr>
            </w:pPr>
            <w:r>
              <w:rPr>
                <w:rFonts w:ascii="Calibri" w:cs="Calibri" w:eastAsia="Calibri" w:hAnsi="Calibri"/>
                <w:sz w:val="11"/>
                <w:szCs w:val="11"/>
                <w:b w:val="1"/>
                <w:bCs w:val="1"/>
                <w:color w:val="auto"/>
              </w:rPr>
              <w:t>Shares</w:t>
            </w:r>
          </w:p>
        </w:tc>
        <w:tc>
          <w:tcPr>
            <w:tcW w:w="800" w:type="dxa"/>
            <w:vAlign w:val="bottom"/>
            <w:gridSpan w:val="2"/>
          </w:tcPr>
          <w:p>
            <w:pPr>
              <w:jc w:val="center"/>
              <w:ind w:right="60"/>
              <w:spacing w:after="0"/>
              <w:rPr>
                <w:sz w:val="20"/>
                <w:szCs w:val="20"/>
                <w:color w:val="auto"/>
              </w:rPr>
            </w:pPr>
            <w:r>
              <w:rPr>
                <w:rFonts w:ascii="Calibri" w:cs="Calibri" w:eastAsia="Calibri" w:hAnsi="Calibri"/>
                <w:sz w:val="11"/>
                <w:szCs w:val="11"/>
                <w:b w:val="1"/>
                <w:bCs w:val="1"/>
                <w:color w:val="auto"/>
                <w:w w:val="98"/>
              </w:rPr>
              <w:t>Warrants</w:t>
            </w:r>
          </w:p>
        </w:tc>
        <w:tc>
          <w:tcPr>
            <w:tcW w:w="0" w:type="dxa"/>
            <w:vAlign w:val="bottom"/>
          </w:tcPr>
          <w:p>
            <w:pPr>
              <w:spacing w:after="0"/>
              <w:rPr>
                <w:sz w:val="1"/>
                <w:szCs w:val="1"/>
                <w:color w:val="auto"/>
              </w:rPr>
            </w:pPr>
          </w:p>
        </w:tc>
      </w:tr>
      <w:tr>
        <w:trPr>
          <w:trHeight w:val="20"/>
        </w:trPr>
        <w:tc>
          <w:tcPr>
            <w:tcW w:w="580" w:type="dxa"/>
            <w:vAlign w:val="bottom"/>
            <w:tcBorders>
              <w:bottom w:val="single" w:sz="8" w:color="CCEEFF"/>
            </w:tcBorders>
            <w:shd w:val="clear" w:color="auto" w:fill="000000"/>
          </w:tcPr>
          <w:p>
            <w:pPr>
              <w:spacing w:after="0" w:line="20" w:lineRule="exact"/>
              <w:rPr>
                <w:sz w:val="1"/>
                <w:szCs w:val="1"/>
                <w:color w:val="auto"/>
              </w:rPr>
            </w:pPr>
          </w:p>
        </w:tc>
        <w:tc>
          <w:tcPr>
            <w:tcW w:w="4180" w:type="dxa"/>
            <w:vAlign w:val="bottom"/>
            <w:tcBorders>
              <w:bottom w:val="single" w:sz="8" w:color="CCEEFF"/>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2"/>
        </w:trPr>
        <w:tc>
          <w:tcPr>
            <w:tcW w:w="4760" w:type="dxa"/>
            <w:vAlign w:val="bottom"/>
            <w:gridSpan w:val="2"/>
            <w:shd w:val="clear" w:color="auto" w:fill="CCEEFF"/>
          </w:tcPr>
          <w:p>
            <w:pPr>
              <w:spacing w:after="0" w:line="147" w:lineRule="exact"/>
              <w:rPr>
                <w:sz w:val="20"/>
                <w:szCs w:val="20"/>
                <w:color w:val="auto"/>
              </w:rPr>
            </w:pPr>
            <w:r>
              <w:rPr>
                <w:rFonts w:ascii="Calibri" w:cs="Calibri" w:eastAsia="Calibri" w:hAnsi="Calibri"/>
                <w:sz w:val="14"/>
                <w:szCs w:val="14"/>
                <w:color w:val="auto"/>
              </w:rPr>
              <w:t>Jeferies LLC</w:t>
            </w:r>
          </w:p>
        </w:tc>
        <w:tc>
          <w:tcPr>
            <w:tcW w:w="740" w:type="dxa"/>
            <w:vAlign w:val="bottom"/>
            <w:shd w:val="clear" w:color="auto" w:fill="CCEEFF"/>
          </w:tcPr>
          <w:p>
            <w:pPr>
              <w:jc w:val="right"/>
              <w:spacing w:after="0" w:line="152" w:lineRule="exact"/>
              <w:rPr>
                <w:sz w:val="20"/>
                <w:szCs w:val="20"/>
                <w:color w:val="auto"/>
              </w:rPr>
            </w:pPr>
            <w:r>
              <w:rPr>
                <w:rFonts w:ascii="Calibri" w:cs="Calibri" w:eastAsia="Calibri" w:hAnsi="Calibri"/>
                <w:sz w:val="14"/>
                <w:szCs w:val="14"/>
                <w:color w:val="auto"/>
              </w:rPr>
              <w:t>2,546,000</w:t>
            </w:r>
          </w:p>
        </w:tc>
        <w:tc>
          <w:tcPr>
            <w:tcW w:w="220" w:type="dxa"/>
            <w:vAlign w:val="bottom"/>
            <w:shd w:val="clear" w:color="auto" w:fill="CCEEFF"/>
          </w:tcPr>
          <w:p>
            <w:pPr>
              <w:spacing w:after="0"/>
              <w:rPr>
                <w:sz w:val="13"/>
                <w:szCs w:val="13"/>
                <w:color w:val="auto"/>
              </w:rPr>
            </w:pPr>
          </w:p>
        </w:tc>
        <w:tc>
          <w:tcPr>
            <w:tcW w:w="760" w:type="dxa"/>
            <w:vAlign w:val="bottom"/>
            <w:shd w:val="clear" w:color="auto" w:fill="CCEEFF"/>
          </w:tcPr>
          <w:p>
            <w:pPr>
              <w:jc w:val="right"/>
              <w:spacing w:after="0" w:line="152" w:lineRule="exact"/>
              <w:rPr>
                <w:sz w:val="20"/>
                <w:szCs w:val="20"/>
                <w:color w:val="auto"/>
              </w:rPr>
            </w:pPr>
            <w:r>
              <w:rPr>
                <w:rFonts w:ascii="Calibri" w:cs="Calibri" w:eastAsia="Calibri" w:hAnsi="Calibri"/>
                <w:sz w:val="14"/>
                <w:szCs w:val="14"/>
                <w:color w:val="auto"/>
              </w:rPr>
              <w:t>494,000</w:t>
            </w:r>
          </w:p>
        </w:tc>
        <w:tc>
          <w:tcPr>
            <w:tcW w:w="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8"/>
        </w:trPr>
        <w:tc>
          <w:tcPr>
            <w:tcW w:w="4760" w:type="dxa"/>
            <w:vAlign w:val="bottom"/>
            <w:gridSpan w:val="2"/>
          </w:tcPr>
          <w:p>
            <w:pPr>
              <w:spacing w:after="0" w:line="167" w:lineRule="exact"/>
              <w:rPr>
                <w:sz w:val="20"/>
                <w:szCs w:val="20"/>
                <w:color w:val="auto"/>
              </w:rPr>
            </w:pPr>
            <w:r>
              <w:rPr>
                <w:rFonts w:ascii="Calibri" w:cs="Calibri" w:eastAsia="Calibri" w:hAnsi="Calibri"/>
                <w:sz w:val="14"/>
                <w:szCs w:val="14"/>
                <w:color w:val="auto"/>
              </w:rPr>
              <w:t>Goldman Sachs &amp; Co. LLC</w:t>
            </w:r>
          </w:p>
        </w:tc>
        <w:tc>
          <w:tcPr>
            <w:tcW w:w="960" w:type="dxa"/>
            <w:vAlign w:val="bottom"/>
            <w:gridSpan w:val="2"/>
          </w:tcPr>
          <w:p>
            <w:pPr>
              <w:jc w:val="right"/>
              <w:ind w:right="220"/>
              <w:spacing w:after="0" w:line="167" w:lineRule="exact"/>
              <w:rPr>
                <w:sz w:val="20"/>
                <w:szCs w:val="20"/>
                <w:color w:val="auto"/>
              </w:rPr>
            </w:pPr>
            <w:r>
              <w:rPr>
                <w:rFonts w:ascii="Calibri" w:cs="Calibri" w:eastAsia="Calibri" w:hAnsi="Calibri"/>
                <w:sz w:val="14"/>
                <w:szCs w:val="14"/>
                <w:color w:val="auto"/>
              </w:rPr>
              <w:t>2,546,000</w:t>
            </w:r>
          </w:p>
        </w:tc>
        <w:tc>
          <w:tcPr>
            <w:tcW w:w="800" w:type="dxa"/>
            <w:vAlign w:val="bottom"/>
            <w:gridSpan w:val="2"/>
          </w:tcPr>
          <w:p>
            <w:pPr>
              <w:jc w:val="right"/>
              <w:ind w:right="40"/>
              <w:spacing w:after="0" w:line="167" w:lineRule="exact"/>
              <w:rPr>
                <w:sz w:val="20"/>
                <w:szCs w:val="20"/>
                <w:color w:val="auto"/>
              </w:rPr>
            </w:pPr>
            <w:r>
              <w:rPr>
                <w:rFonts w:ascii="Calibri" w:cs="Calibri" w:eastAsia="Calibri" w:hAnsi="Calibri"/>
                <w:sz w:val="14"/>
                <w:szCs w:val="14"/>
                <w:color w:val="auto"/>
              </w:rPr>
              <w:t>494,000</w:t>
            </w:r>
          </w:p>
        </w:tc>
        <w:tc>
          <w:tcPr>
            <w:tcW w:w="0" w:type="dxa"/>
            <w:vAlign w:val="bottom"/>
          </w:tcPr>
          <w:p>
            <w:pPr>
              <w:spacing w:after="0"/>
              <w:rPr>
                <w:sz w:val="1"/>
                <w:szCs w:val="1"/>
                <w:color w:val="auto"/>
              </w:rPr>
            </w:pPr>
          </w:p>
        </w:tc>
      </w:tr>
      <w:tr>
        <w:trPr>
          <w:trHeight w:val="169"/>
        </w:trPr>
        <w:tc>
          <w:tcPr>
            <w:tcW w:w="4760" w:type="dxa"/>
            <w:vAlign w:val="bottom"/>
            <w:gridSpan w:val="2"/>
            <w:shd w:val="clear" w:color="auto" w:fill="CCEEFF"/>
          </w:tcPr>
          <w:p>
            <w:pPr>
              <w:spacing w:after="0" w:line="168" w:lineRule="exact"/>
              <w:rPr>
                <w:sz w:val="20"/>
                <w:szCs w:val="20"/>
                <w:color w:val="auto"/>
              </w:rPr>
            </w:pPr>
            <w:r>
              <w:rPr>
                <w:rFonts w:ascii="Calibri" w:cs="Calibri" w:eastAsia="Calibri" w:hAnsi="Calibri"/>
                <w:sz w:val="14"/>
                <w:szCs w:val="14"/>
                <w:color w:val="auto"/>
              </w:rPr>
              <w:t>Morgan Stanley &amp; Co. LLC</w:t>
            </w:r>
          </w:p>
        </w:tc>
        <w:tc>
          <w:tcPr>
            <w:tcW w:w="960" w:type="dxa"/>
            <w:vAlign w:val="bottom"/>
            <w:gridSpan w:val="2"/>
            <w:shd w:val="clear" w:color="auto" w:fill="CCEEFF"/>
          </w:tcPr>
          <w:p>
            <w:pPr>
              <w:jc w:val="right"/>
              <w:ind w:right="220"/>
              <w:spacing w:after="0" w:line="168" w:lineRule="exact"/>
              <w:rPr>
                <w:sz w:val="20"/>
                <w:szCs w:val="20"/>
                <w:color w:val="auto"/>
              </w:rPr>
            </w:pPr>
            <w:r>
              <w:rPr>
                <w:rFonts w:ascii="Calibri" w:cs="Calibri" w:eastAsia="Calibri" w:hAnsi="Calibri"/>
                <w:sz w:val="14"/>
                <w:szCs w:val="14"/>
                <w:color w:val="auto"/>
              </w:rPr>
              <w:t>1,340,000</w:t>
            </w:r>
          </w:p>
        </w:tc>
        <w:tc>
          <w:tcPr>
            <w:tcW w:w="800" w:type="dxa"/>
            <w:vAlign w:val="bottom"/>
            <w:gridSpan w:val="2"/>
            <w:shd w:val="clear" w:color="auto" w:fill="CCEEFF"/>
          </w:tcPr>
          <w:p>
            <w:pPr>
              <w:jc w:val="right"/>
              <w:ind w:right="40"/>
              <w:spacing w:after="0" w:line="168" w:lineRule="exact"/>
              <w:rPr>
                <w:sz w:val="20"/>
                <w:szCs w:val="20"/>
                <w:color w:val="auto"/>
              </w:rPr>
            </w:pPr>
            <w:r>
              <w:rPr>
                <w:rFonts w:ascii="Calibri" w:cs="Calibri" w:eastAsia="Calibri" w:hAnsi="Calibri"/>
                <w:sz w:val="14"/>
                <w:szCs w:val="14"/>
                <w:color w:val="auto"/>
              </w:rPr>
              <w:t>260,000</w:t>
            </w:r>
          </w:p>
        </w:tc>
        <w:tc>
          <w:tcPr>
            <w:tcW w:w="0" w:type="dxa"/>
            <w:vAlign w:val="bottom"/>
          </w:tcPr>
          <w:p>
            <w:pPr>
              <w:spacing w:after="0"/>
              <w:rPr>
                <w:sz w:val="1"/>
                <w:szCs w:val="1"/>
                <w:color w:val="auto"/>
              </w:rPr>
            </w:pPr>
          </w:p>
        </w:tc>
      </w:tr>
      <w:tr>
        <w:trPr>
          <w:trHeight w:val="168"/>
        </w:trPr>
        <w:tc>
          <w:tcPr>
            <w:tcW w:w="4760" w:type="dxa"/>
            <w:vAlign w:val="bottom"/>
            <w:gridSpan w:val="2"/>
          </w:tcPr>
          <w:p>
            <w:pPr>
              <w:spacing w:after="0" w:line="167" w:lineRule="exact"/>
              <w:rPr>
                <w:sz w:val="20"/>
                <w:szCs w:val="20"/>
                <w:color w:val="auto"/>
              </w:rPr>
            </w:pPr>
            <w:r>
              <w:rPr>
                <w:rFonts w:ascii="Calibri" w:cs="Calibri" w:eastAsia="Calibri" w:hAnsi="Calibri"/>
                <w:sz w:val="14"/>
                <w:szCs w:val="14"/>
                <w:color w:val="auto"/>
              </w:rPr>
              <w:t>Barclays Capital Inc.</w:t>
            </w:r>
          </w:p>
        </w:tc>
        <w:tc>
          <w:tcPr>
            <w:tcW w:w="960" w:type="dxa"/>
            <w:vAlign w:val="bottom"/>
            <w:gridSpan w:val="2"/>
          </w:tcPr>
          <w:p>
            <w:pPr>
              <w:jc w:val="right"/>
              <w:ind w:right="220"/>
              <w:spacing w:after="0" w:line="167" w:lineRule="exact"/>
              <w:rPr>
                <w:sz w:val="20"/>
                <w:szCs w:val="20"/>
                <w:color w:val="auto"/>
              </w:rPr>
            </w:pPr>
            <w:r>
              <w:rPr>
                <w:rFonts w:ascii="Calibri" w:cs="Calibri" w:eastAsia="Calibri" w:hAnsi="Calibri"/>
                <w:sz w:val="14"/>
                <w:szCs w:val="14"/>
                <w:color w:val="auto"/>
              </w:rPr>
              <w:t>893,333</w:t>
            </w:r>
          </w:p>
        </w:tc>
        <w:tc>
          <w:tcPr>
            <w:tcW w:w="800" w:type="dxa"/>
            <w:vAlign w:val="bottom"/>
            <w:gridSpan w:val="2"/>
          </w:tcPr>
          <w:p>
            <w:pPr>
              <w:jc w:val="right"/>
              <w:ind w:right="40"/>
              <w:spacing w:after="0" w:line="167" w:lineRule="exact"/>
              <w:rPr>
                <w:sz w:val="20"/>
                <w:szCs w:val="20"/>
                <w:color w:val="auto"/>
              </w:rPr>
            </w:pPr>
            <w:r>
              <w:rPr>
                <w:rFonts w:ascii="Calibri" w:cs="Calibri" w:eastAsia="Calibri" w:hAnsi="Calibri"/>
                <w:sz w:val="14"/>
                <w:szCs w:val="14"/>
                <w:color w:val="auto"/>
              </w:rPr>
              <w:t>173,334</w:t>
            </w:r>
          </w:p>
        </w:tc>
        <w:tc>
          <w:tcPr>
            <w:tcW w:w="0" w:type="dxa"/>
            <w:vAlign w:val="bottom"/>
          </w:tcPr>
          <w:p>
            <w:pPr>
              <w:spacing w:after="0"/>
              <w:rPr>
                <w:sz w:val="1"/>
                <w:szCs w:val="1"/>
                <w:color w:val="auto"/>
              </w:rPr>
            </w:pPr>
          </w:p>
        </w:tc>
      </w:tr>
      <w:tr>
        <w:trPr>
          <w:trHeight w:val="169"/>
        </w:trPr>
        <w:tc>
          <w:tcPr>
            <w:tcW w:w="4760" w:type="dxa"/>
            <w:vAlign w:val="bottom"/>
            <w:gridSpan w:val="2"/>
            <w:shd w:val="clear" w:color="auto" w:fill="CCEEFF"/>
          </w:tcPr>
          <w:p>
            <w:pPr>
              <w:spacing w:after="0" w:line="168" w:lineRule="exact"/>
              <w:rPr>
                <w:sz w:val="20"/>
                <w:szCs w:val="20"/>
                <w:color w:val="auto"/>
              </w:rPr>
            </w:pPr>
            <w:r>
              <w:rPr>
                <w:rFonts w:ascii="Calibri" w:cs="Calibri" w:eastAsia="Calibri" w:hAnsi="Calibri"/>
                <w:sz w:val="14"/>
                <w:szCs w:val="14"/>
                <w:color w:val="auto"/>
              </w:rPr>
              <w:t>Mizuho Securites USA LLC</w:t>
            </w:r>
          </w:p>
        </w:tc>
        <w:tc>
          <w:tcPr>
            <w:tcW w:w="960" w:type="dxa"/>
            <w:vAlign w:val="bottom"/>
            <w:gridSpan w:val="2"/>
            <w:shd w:val="clear" w:color="auto" w:fill="CCEEFF"/>
          </w:tcPr>
          <w:p>
            <w:pPr>
              <w:jc w:val="right"/>
              <w:ind w:right="220"/>
              <w:spacing w:after="0" w:line="168" w:lineRule="exact"/>
              <w:rPr>
                <w:sz w:val="20"/>
                <w:szCs w:val="20"/>
                <w:color w:val="auto"/>
              </w:rPr>
            </w:pPr>
            <w:r>
              <w:rPr>
                <w:rFonts w:ascii="Calibri" w:cs="Calibri" w:eastAsia="Calibri" w:hAnsi="Calibri"/>
                <w:sz w:val="14"/>
                <w:szCs w:val="14"/>
                <w:color w:val="auto"/>
              </w:rPr>
              <w:t>625,333</w:t>
            </w:r>
          </w:p>
        </w:tc>
        <w:tc>
          <w:tcPr>
            <w:tcW w:w="800" w:type="dxa"/>
            <w:vAlign w:val="bottom"/>
            <w:gridSpan w:val="2"/>
            <w:shd w:val="clear" w:color="auto" w:fill="CCEEFF"/>
          </w:tcPr>
          <w:p>
            <w:pPr>
              <w:jc w:val="right"/>
              <w:ind w:right="40"/>
              <w:spacing w:after="0" w:line="168" w:lineRule="exact"/>
              <w:rPr>
                <w:sz w:val="20"/>
                <w:szCs w:val="20"/>
                <w:color w:val="auto"/>
              </w:rPr>
            </w:pPr>
            <w:r>
              <w:rPr>
                <w:rFonts w:ascii="Calibri" w:cs="Calibri" w:eastAsia="Calibri" w:hAnsi="Calibri"/>
                <w:sz w:val="14"/>
                <w:szCs w:val="14"/>
                <w:color w:val="auto"/>
              </w:rPr>
              <w:t>121,333</w:t>
            </w:r>
          </w:p>
        </w:tc>
        <w:tc>
          <w:tcPr>
            <w:tcW w:w="0" w:type="dxa"/>
            <w:vAlign w:val="bottom"/>
          </w:tcPr>
          <w:p>
            <w:pPr>
              <w:spacing w:after="0"/>
              <w:rPr>
                <w:sz w:val="1"/>
                <w:szCs w:val="1"/>
                <w:color w:val="auto"/>
              </w:rPr>
            </w:pPr>
          </w:p>
        </w:tc>
      </w:tr>
      <w:tr>
        <w:trPr>
          <w:trHeight w:val="168"/>
        </w:trPr>
        <w:tc>
          <w:tcPr>
            <w:tcW w:w="4760" w:type="dxa"/>
            <w:vAlign w:val="bottom"/>
            <w:gridSpan w:val="2"/>
          </w:tcPr>
          <w:p>
            <w:pPr>
              <w:spacing w:after="0" w:line="167" w:lineRule="exact"/>
              <w:rPr>
                <w:sz w:val="20"/>
                <w:szCs w:val="20"/>
                <w:color w:val="auto"/>
              </w:rPr>
            </w:pPr>
            <w:r>
              <w:rPr>
                <w:rFonts w:ascii="Calibri" w:cs="Calibri" w:eastAsia="Calibri" w:hAnsi="Calibri"/>
                <w:sz w:val="14"/>
                <w:szCs w:val="14"/>
                <w:color w:val="auto"/>
              </w:rPr>
              <w:t>LifeSci Capital LLC</w:t>
            </w:r>
          </w:p>
        </w:tc>
        <w:tc>
          <w:tcPr>
            <w:tcW w:w="960" w:type="dxa"/>
            <w:vAlign w:val="bottom"/>
            <w:gridSpan w:val="2"/>
          </w:tcPr>
          <w:p>
            <w:pPr>
              <w:jc w:val="right"/>
              <w:ind w:right="220"/>
              <w:spacing w:after="0" w:line="167" w:lineRule="exact"/>
              <w:rPr>
                <w:sz w:val="20"/>
                <w:szCs w:val="20"/>
                <w:color w:val="auto"/>
              </w:rPr>
            </w:pPr>
            <w:r>
              <w:rPr>
                <w:rFonts w:ascii="Calibri" w:cs="Calibri" w:eastAsia="Calibri" w:hAnsi="Calibri"/>
                <w:sz w:val="14"/>
                <w:szCs w:val="14"/>
                <w:color w:val="auto"/>
              </w:rPr>
              <w:t>625,333</w:t>
            </w:r>
          </w:p>
        </w:tc>
        <w:tc>
          <w:tcPr>
            <w:tcW w:w="800" w:type="dxa"/>
            <w:vAlign w:val="bottom"/>
            <w:gridSpan w:val="2"/>
          </w:tcPr>
          <w:p>
            <w:pPr>
              <w:jc w:val="right"/>
              <w:ind w:right="40"/>
              <w:spacing w:after="0" w:line="167" w:lineRule="exact"/>
              <w:rPr>
                <w:sz w:val="20"/>
                <w:szCs w:val="20"/>
                <w:color w:val="auto"/>
              </w:rPr>
            </w:pPr>
            <w:r>
              <w:rPr>
                <w:rFonts w:ascii="Calibri" w:cs="Calibri" w:eastAsia="Calibri" w:hAnsi="Calibri"/>
                <w:sz w:val="14"/>
                <w:szCs w:val="14"/>
                <w:color w:val="auto"/>
              </w:rPr>
              <w:t>121,333</w:t>
            </w:r>
          </w:p>
        </w:tc>
        <w:tc>
          <w:tcPr>
            <w:tcW w:w="0" w:type="dxa"/>
            <w:vAlign w:val="bottom"/>
          </w:tcPr>
          <w:p>
            <w:pPr>
              <w:spacing w:after="0"/>
              <w:rPr>
                <w:sz w:val="1"/>
                <w:szCs w:val="1"/>
                <w:color w:val="auto"/>
              </w:rPr>
            </w:pPr>
          </w:p>
        </w:tc>
      </w:tr>
      <w:tr>
        <w:trPr>
          <w:trHeight w:val="169"/>
        </w:trPr>
        <w:tc>
          <w:tcPr>
            <w:tcW w:w="4760" w:type="dxa"/>
            <w:vAlign w:val="bottom"/>
            <w:gridSpan w:val="2"/>
            <w:shd w:val="clear" w:color="auto" w:fill="CCEEFF"/>
          </w:tcPr>
          <w:p>
            <w:pPr>
              <w:spacing w:after="0" w:line="168" w:lineRule="exact"/>
              <w:rPr>
                <w:sz w:val="20"/>
                <w:szCs w:val="20"/>
                <w:color w:val="auto"/>
              </w:rPr>
            </w:pPr>
            <w:r>
              <w:rPr>
                <w:rFonts w:ascii="Calibri" w:cs="Calibri" w:eastAsia="Calibri" w:hAnsi="Calibri"/>
                <w:sz w:val="14"/>
                <w:szCs w:val="14"/>
                <w:color w:val="auto"/>
              </w:rPr>
              <w:t>Robert W. Baird &amp; Co. Incorporated</w:t>
            </w:r>
          </w:p>
        </w:tc>
        <w:tc>
          <w:tcPr>
            <w:tcW w:w="960" w:type="dxa"/>
            <w:vAlign w:val="bottom"/>
            <w:gridSpan w:val="2"/>
            <w:shd w:val="clear" w:color="auto" w:fill="CCEEFF"/>
          </w:tcPr>
          <w:p>
            <w:pPr>
              <w:jc w:val="right"/>
              <w:ind w:right="220"/>
              <w:spacing w:after="0" w:line="168" w:lineRule="exact"/>
              <w:rPr>
                <w:sz w:val="20"/>
                <w:szCs w:val="20"/>
                <w:color w:val="auto"/>
              </w:rPr>
            </w:pPr>
            <w:r>
              <w:rPr>
                <w:rFonts w:ascii="Calibri" w:cs="Calibri" w:eastAsia="Calibri" w:hAnsi="Calibri"/>
                <w:sz w:val="14"/>
                <w:szCs w:val="14"/>
                <w:color w:val="auto"/>
              </w:rPr>
              <w:t>268,001</w:t>
            </w:r>
          </w:p>
        </w:tc>
        <w:tc>
          <w:tcPr>
            <w:tcW w:w="800" w:type="dxa"/>
            <w:vAlign w:val="bottom"/>
            <w:gridSpan w:val="2"/>
            <w:shd w:val="clear" w:color="auto" w:fill="CCEEFF"/>
          </w:tcPr>
          <w:p>
            <w:pPr>
              <w:jc w:val="right"/>
              <w:ind w:right="40"/>
              <w:spacing w:after="0" w:line="168" w:lineRule="exact"/>
              <w:rPr>
                <w:sz w:val="20"/>
                <w:szCs w:val="20"/>
                <w:color w:val="auto"/>
              </w:rPr>
            </w:pPr>
            <w:r>
              <w:rPr>
                <w:rFonts w:ascii="Calibri" w:cs="Calibri" w:eastAsia="Calibri" w:hAnsi="Calibri"/>
                <w:sz w:val="14"/>
                <w:szCs w:val="14"/>
                <w:color w:val="auto"/>
              </w:rPr>
              <w:t>52,000</w:t>
            </w:r>
          </w:p>
        </w:tc>
        <w:tc>
          <w:tcPr>
            <w:tcW w:w="0" w:type="dxa"/>
            <w:vAlign w:val="bottom"/>
          </w:tcPr>
          <w:p>
            <w:pPr>
              <w:spacing w:after="0"/>
              <w:rPr>
                <w:sz w:val="1"/>
                <w:szCs w:val="1"/>
                <w:color w:val="auto"/>
              </w:rPr>
            </w:pPr>
          </w:p>
        </w:tc>
      </w:tr>
      <w:tr>
        <w:trPr>
          <w:trHeight w:val="169"/>
        </w:trPr>
        <w:tc>
          <w:tcPr>
            <w:tcW w:w="4760" w:type="dxa"/>
            <w:vAlign w:val="bottom"/>
            <w:gridSpan w:val="2"/>
          </w:tcPr>
          <w:p>
            <w:pPr>
              <w:spacing w:after="0" w:line="167" w:lineRule="exact"/>
              <w:rPr>
                <w:sz w:val="20"/>
                <w:szCs w:val="20"/>
                <w:color w:val="auto"/>
              </w:rPr>
            </w:pPr>
            <w:r>
              <w:rPr>
                <w:rFonts w:ascii="Calibri" w:cs="Calibri" w:eastAsia="Calibri" w:hAnsi="Calibri"/>
                <w:sz w:val="14"/>
                <w:szCs w:val="14"/>
                <w:color w:val="auto"/>
              </w:rPr>
              <w:t>JonesTrading Insttutonal Services LLC</w:t>
            </w:r>
          </w:p>
        </w:tc>
        <w:tc>
          <w:tcPr>
            <w:tcW w:w="740" w:type="dxa"/>
            <w:vAlign w:val="bottom"/>
            <w:tcBorders>
              <w:bottom w:val="single" w:sz="8" w:color="auto"/>
            </w:tcBorders>
          </w:tcPr>
          <w:p>
            <w:pPr>
              <w:jc w:val="right"/>
              <w:spacing w:after="0" w:line="167" w:lineRule="exact"/>
              <w:rPr>
                <w:sz w:val="20"/>
                <w:szCs w:val="20"/>
                <w:color w:val="auto"/>
              </w:rPr>
            </w:pPr>
            <w:r>
              <w:rPr>
                <w:rFonts w:ascii="Calibri" w:cs="Calibri" w:eastAsia="Calibri" w:hAnsi="Calibri"/>
                <w:sz w:val="14"/>
                <w:szCs w:val="14"/>
                <w:color w:val="auto"/>
              </w:rPr>
              <w:t>89,334</w:t>
            </w:r>
          </w:p>
        </w:tc>
        <w:tc>
          <w:tcPr>
            <w:tcW w:w="220" w:type="dxa"/>
            <w:vAlign w:val="bottom"/>
          </w:tcPr>
          <w:p>
            <w:pPr>
              <w:spacing w:after="0"/>
              <w:rPr>
                <w:sz w:val="14"/>
                <w:szCs w:val="14"/>
                <w:color w:val="auto"/>
              </w:rPr>
            </w:pPr>
          </w:p>
        </w:tc>
        <w:tc>
          <w:tcPr>
            <w:tcW w:w="760" w:type="dxa"/>
            <w:vAlign w:val="bottom"/>
            <w:tcBorders>
              <w:bottom w:val="single" w:sz="8" w:color="auto"/>
            </w:tcBorders>
          </w:tcPr>
          <w:p>
            <w:pPr>
              <w:jc w:val="right"/>
              <w:spacing w:after="0" w:line="167" w:lineRule="exact"/>
              <w:rPr>
                <w:sz w:val="20"/>
                <w:szCs w:val="20"/>
                <w:color w:val="auto"/>
              </w:rPr>
            </w:pPr>
            <w:r>
              <w:rPr>
                <w:rFonts w:ascii="Calibri" w:cs="Calibri" w:eastAsia="Calibri" w:hAnsi="Calibri"/>
                <w:sz w:val="14"/>
                <w:szCs w:val="14"/>
                <w:color w:val="auto"/>
              </w:rPr>
              <w:t>17,333</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4760" w:type="dxa"/>
            <w:vAlign w:val="bottom"/>
            <w:gridSpan w:val="2"/>
            <w:shd w:val="clear" w:color="auto" w:fill="CCEEFF"/>
          </w:tcPr>
          <w:p>
            <w:pPr>
              <w:ind w:left="280"/>
              <w:spacing w:after="0" w:line="167" w:lineRule="exact"/>
              <w:rPr>
                <w:sz w:val="20"/>
                <w:szCs w:val="20"/>
                <w:color w:val="auto"/>
              </w:rPr>
            </w:pPr>
            <w:r>
              <w:rPr>
                <w:rFonts w:ascii="Calibri" w:cs="Calibri" w:eastAsia="Calibri" w:hAnsi="Calibri"/>
                <w:sz w:val="14"/>
                <w:szCs w:val="14"/>
                <w:color w:val="auto"/>
              </w:rPr>
              <w:t>Total</w:t>
            </w:r>
          </w:p>
        </w:tc>
        <w:tc>
          <w:tcPr>
            <w:tcW w:w="960" w:type="dxa"/>
            <w:vAlign w:val="bottom"/>
            <w:gridSpan w:val="2"/>
            <w:shd w:val="clear" w:color="auto" w:fill="CCEEFF"/>
          </w:tcPr>
          <w:p>
            <w:pPr>
              <w:jc w:val="right"/>
              <w:ind w:right="220"/>
              <w:spacing w:after="0" w:line="167" w:lineRule="exact"/>
              <w:rPr>
                <w:sz w:val="20"/>
                <w:szCs w:val="20"/>
                <w:color w:val="auto"/>
              </w:rPr>
            </w:pPr>
            <w:r>
              <w:rPr>
                <w:rFonts w:ascii="Calibri" w:cs="Calibri" w:eastAsia="Calibri" w:hAnsi="Calibri"/>
                <w:sz w:val="14"/>
                <w:szCs w:val="14"/>
                <w:color w:val="auto"/>
              </w:rPr>
              <w:t>8,933,334</w:t>
            </w:r>
          </w:p>
        </w:tc>
        <w:tc>
          <w:tcPr>
            <w:tcW w:w="800" w:type="dxa"/>
            <w:vAlign w:val="bottom"/>
            <w:gridSpan w:val="2"/>
            <w:shd w:val="clear" w:color="auto" w:fill="CCEEFF"/>
          </w:tcPr>
          <w:p>
            <w:pPr>
              <w:jc w:val="right"/>
              <w:ind w:right="40"/>
              <w:spacing w:after="0" w:line="167" w:lineRule="exact"/>
              <w:rPr>
                <w:sz w:val="20"/>
                <w:szCs w:val="20"/>
                <w:color w:val="auto"/>
              </w:rPr>
            </w:pPr>
            <w:r>
              <w:rPr>
                <w:rFonts w:ascii="Calibri" w:cs="Calibri" w:eastAsia="Calibri" w:hAnsi="Calibri"/>
                <w:sz w:val="14"/>
                <w:szCs w:val="14"/>
                <w:color w:val="auto"/>
              </w:rPr>
              <w:t>1,733,333</w:t>
            </w: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418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1" w:lineRule="exact"/>
        <w:rPr>
          <w:sz w:val="20"/>
          <w:szCs w:val="20"/>
          <w:color w:val="auto"/>
        </w:rPr>
      </w:pPr>
    </w:p>
    <w:p>
      <w:pPr>
        <w:ind w:left="220" w:right="319"/>
        <w:spacing w:after="0" w:line="256" w:lineRule="auto"/>
        <w:rPr>
          <w:sz w:val="20"/>
          <w:szCs w:val="20"/>
          <w:color w:val="auto"/>
        </w:rPr>
      </w:pPr>
      <w:r>
        <w:rPr>
          <w:rFonts w:ascii="Calibri" w:cs="Calibri" w:eastAsia="Calibri" w:hAnsi="Calibri"/>
          <w:sz w:val="13"/>
          <w:szCs w:val="13"/>
          <w:color w:val="auto"/>
        </w:rPr>
        <w:t>The Underwritng Agreement provides that the obligatons of the several underwriters are subject to certain conditons precedent such as the receipt by the underwriters of ofcers’ certfcates and legal opinions and approval of certain legal maters by their counsel. The Underwritng Agreement provides that the underwriters will purchase all of the shares of common stock and pre-funded warrants if any of them are purchased. If an underwriter defaults, the Underwritng Agreement provides that the purchase commitments of the non-defaultng underwriters may be increased or the Underwritng Agreement may be terminated. We have agreed to indemnify the underwriters and certain of their controlling persons against certain liabilites, including liabilites under the Securites Act, and to contribute to payments that the underwriters may be required to make in respect of those liabilites.</w:t>
      </w:r>
    </w:p>
    <w:p>
      <w:pPr>
        <w:spacing w:after="0" w:line="161" w:lineRule="exact"/>
        <w:rPr>
          <w:sz w:val="20"/>
          <w:szCs w:val="20"/>
          <w:color w:val="auto"/>
        </w:rPr>
      </w:pPr>
    </w:p>
    <w:p>
      <w:pPr>
        <w:ind w:left="220" w:right="239"/>
        <w:spacing w:after="0" w:line="235" w:lineRule="auto"/>
        <w:rPr>
          <w:sz w:val="20"/>
          <w:szCs w:val="20"/>
          <w:color w:val="auto"/>
        </w:rPr>
      </w:pPr>
      <w:r>
        <w:rPr>
          <w:rFonts w:ascii="Calibri" w:cs="Calibri" w:eastAsia="Calibri" w:hAnsi="Calibri"/>
          <w:sz w:val="14"/>
          <w:szCs w:val="14"/>
          <w:color w:val="auto"/>
        </w:rPr>
        <w:t>The underwriters have advised us that, following the completon of this ofering, they currently intend to make a market in the common stock as permited by applicable laws and regulatons. However, the underwriters are not obligated to do so, and the underwriters may discontnue any market-making actvites at any tme without notce in their sole discreton. Accordingly, no assurance can be given as to the liquidity of the trading market for the shares of common stock and pre-funded warrants, that you will be able to sell any of the shares of common stock and pre-funded warrants held by you at a partcular tme or that the prices that you receive when you sell will be favorable.</w:t>
      </w:r>
    </w:p>
    <w:p>
      <w:pPr>
        <w:spacing w:after="0" w:line="172" w:lineRule="exact"/>
        <w:rPr>
          <w:sz w:val="20"/>
          <w:szCs w:val="20"/>
          <w:color w:val="auto"/>
        </w:rPr>
      </w:pPr>
    </w:p>
    <w:p>
      <w:pPr>
        <w:ind w:left="220" w:right="379"/>
        <w:spacing w:after="0" w:line="235" w:lineRule="auto"/>
        <w:rPr>
          <w:sz w:val="20"/>
          <w:szCs w:val="20"/>
          <w:color w:val="auto"/>
        </w:rPr>
      </w:pPr>
      <w:r>
        <w:rPr>
          <w:rFonts w:ascii="Calibri" w:cs="Calibri" w:eastAsia="Calibri" w:hAnsi="Calibri"/>
          <w:sz w:val="14"/>
          <w:szCs w:val="14"/>
          <w:color w:val="auto"/>
        </w:rPr>
        <w:t>The underwriters are ofering the shares of common stock and pre-funded warrants subject to their acceptance of the shares of common stock and pre-funded warrants from us and subject to prior sale. The underwriters reserve the right to withdraw, cancel or modify ofers to the public and to reject orders in whole or in part.</w:t>
      </w:r>
    </w:p>
    <w:p>
      <w:pPr>
        <w:spacing w:after="0" w:line="250" w:lineRule="exact"/>
        <w:rPr>
          <w:sz w:val="20"/>
          <w:szCs w:val="20"/>
          <w:color w:val="auto"/>
        </w:rPr>
      </w:pPr>
    </w:p>
    <w:p>
      <w:pPr>
        <w:ind w:left="220"/>
        <w:spacing w:after="0"/>
        <w:rPr>
          <w:sz w:val="20"/>
          <w:szCs w:val="20"/>
          <w:color w:val="auto"/>
        </w:rPr>
      </w:pPr>
      <w:r>
        <w:rPr>
          <w:rFonts w:ascii="Calibri" w:cs="Calibri" w:eastAsia="Calibri" w:hAnsi="Calibri"/>
          <w:sz w:val="14"/>
          <w:szCs w:val="14"/>
          <w:b w:val="1"/>
          <w:bCs w:val="1"/>
          <w:color w:val="auto"/>
        </w:rPr>
        <w:t>Commission and Expenses</w:t>
      </w:r>
    </w:p>
    <w:p>
      <w:pPr>
        <w:spacing w:after="0" w:line="85" w:lineRule="exact"/>
        <w:rPr>
          <w:sz w:val="20"/>
          <w:szCs w:val="20"/>
          <w:color w:val="auto"/>
        </w:rPr>
      </w:pPr>
    </w:p>
    <w:p>
      <w:pPr>
        <w:ind w:left="220" w:right="259"/>
        <w:spacing w:after="0" w:line="258" w:lineRule="auto"/>
        <w:rPr>
          <w:sz w:val="20"/>
          <w:szCs w:val="20"/>
          <w:color w:val="auto"/>
        </w:rPr>
      </w:pPr>
      <w:r>
        <w:rPr>
          <w:rFonts w:ascii="Calibri" w:cs="Calibri" w:eastAsia="Calibri" w:hAnsi="Calibri"/>
          <w:sz w:val="13"/>
          <w:szCs w:val="13"/>
          <w:color w:val="auto"/>
        </w:rPr>
        <w:t>The underwriters have advised us that they propose to ofer the shares of common stock and pre-funded warrants to the public at the public ofering price set forth on the cover page of this prospectus supplement and to certain dealers, which may include the underwriters, at that price less a concession not in excess of $1.35 per share of common stock. Afer the ofering, the public ofering price, concession and reallowance to dealers may be reduced by the representatves. No such reducton will change the amount of proceeds to be received by us as set forth on the cover page of this prospectus supplement.</w:t>
      </w:r>
    </w:p>
    <w:p>
      <w:pPr>
        <w:spacing w:after="0" w:line="101" w:lineRule="exact"/>
        <w:rPr>
          <w:sz w:val="20"/>
          <w:szCs w:val="20"/>
          <w:color w:val="auto"/>
        </w:rPr>
      </w:pPr>
    </w:p>
    <w:p>
      <w:pPr>
        <w:jc w:val="center"/>
        <w:ind w:right="19"/>
        <w:spacing w:after="0"/>
        <w:rPr>
          <w:sz w:val="20"/>
          <w:szCs w:val="20"/>
          <w:color w:val="auto"/>
        </w:rPr>
      </w:pPr>
      <w:r>
        <w:rPr>
          <w:rFonts w:ascii="Calibri" w:cs="Calibri" w:eastAsia="Calibri" w:hAnsi="Calibri"/>
          <w:sz w:val="14"/>
          <w:szCs w:val="14"/>
          <w:color w:val="auto"/>
        </w:rPr>
        <w:t>S-28</w:t>
      </w:r>
    </w:p>
    <w:p>
      <w:pPr>
        <w:sectPr>
          <w:pgSz w:w="11900" w:h="16838" w:orient="portrait"/>
          <w:cols w:equalWidth="0" w:num="1">
            <w:col w:w="9019"/>
          </w:cols>
          <w:pgMar w:left="1440" w:top="234" w:right="1440" w:bottom="1440" w:gutter="0" w:footer="0" w:header="0"/>
        </w:sectPr>
      </w:pPr>
    </w:p>
    <w:bookmarkStart w:id="30" w:name="page31"/>
    <w:bookmarkEnd w:id="30"/>
    <w:p>
      <w:pPr>
        <w:ind w:left="220" w:right="239"/>
        <w:spacing w:after="0" w:line="235" w:lineRule="auto"/>
        <w:rPr>
          <w:sz w:val="20"/>
          <w:szCs w:val="20"/>
          <w:color w:val="auto"/>
        </w:rPr>
      </w:pPr>
      <w:r>
        <w:rPr>
          <w:rFonts w:ascii="Calibri" w:cs="Calibri" w:eastAsia="Calibri" w:hAnsi="Calibri"/>
          <w:sz w:val="14"/>
          <w:szCs w:val="14"/>
          <w:color w:val="auto"/>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01535" cy="32385"/>
                    </a:xfrm>
                    <a:prstGeom prst="rect">
                      <a:avLst/>
                    </a:prstGeom>
                    <a:noFill/>
                  </pic:spPr>
                </pic:pic>
              </a:graphicData>
            </a:graphic>
          </wp:anchor>
        </w:drawing>
        <w:t>The following table shows the public ofering price, the underwritng discounts and commissions that we are to pay the underwriters and the proceeds, before expenses, to us in connecton with this ofering. Such amounts are shown assuming both no exercise and full exercise of the underwriters’ opton to purchase additonal shares of common stock.</w:t>
      </w:r>
    </w:p>
    <w:p>
      <w:pPr>
        <w:spacing w:after="0" w:line="195" w:lineRule="exact"/>
        <w:rPr>
          <w:sz w:val="20"/>
          <w:szCs w:val="20"/>
          <w:color w:val="auto"/>
        </w:rPr>
      </w:pPr>
    </w:p>
    <w:tbl>
      <w:tblPr>
        <w:tblLayout w:type="fixed"/>
        <w:tblInd w:w="560" w:type="dxa"/>
        <w:tblCellMar>
          <w:top w:w="0" w:type="dxa"/>
          <w:left w:w="0" w:type="dxa"/>
          <w:bottom w:w="0" w:type="dxa"/>
          <w:right w:w="0" w:type="dxa"/>
        </w:tblCellMar>
      </w:tblPr>
      <w:tr>
        <w:trPr>
          <w:trHeight w:val="141"/>
        </w:trPr>
        <w:tc>
          <w:tcPr>
            <w:tcW w:w="27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gridSpan w:val="3"/>
          </w:tcPr>
          <w:p>
            <w:pPr>
              <w:jc w:val="right"/>
              <w:spacing w:after="0"/>
              <w:rPr>
                <w:sz w:val="20"/>
                <w:szCs w:val="20"/>
                <w:color w:val="auto"/>
              </w:rPr>
            </w:pPr>
            <w:r>
              <w:rPr>
                <w:rFonts w:ascii="Calibri" w:cs="Calibri" w:eastAsia="Calibri" w:hAnsi="Calibri"/>
                <w:sz w:val="11"/>
                <w:szCs w:val="11"/>
                <w:b w:val="1"/>
                <w:bCs w:val="1"/>
                <w:color w:val="auto"/>
              </w:rPr>
              <w:t>Per Share</w:t>
            </w:r>
          </w:p>
        </w:tc>
        <w:tc>
          <w:tcPr>
            <w:tcW w:w="400" w:type="dxa"/>
            <w:vAlign w:val="bottom"/>
            <w:tcBorders>
              <w:bottom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380" w:type="dxa"/>
            <w:vAlign w:val="bottom"/>
            <w:tcBorders>
              <w:bottom w:val="single" w:sz="8" w:color="auto"/>
            </w:tcBorders>
            <w:gridSpan w:val="2"/>
          </w:tcPr>
          <w:p>
            <w:pPr>
              <w:jc w:val="right"/>
              <w:ind w:right="50"/>
              <w:spacing w:after="0"/>
              <w:rPr>
                <w:sz w:val="20"/>
                <w:szCs w:val="20"/>
                <w:color w:val="auto"/>
              </w:rPr>
            </w:pPr>
            <w:r>
              <w:rPr>
                <w:rFonts w:ascii="Calibri" w:cs="Calibri" w:eastAsia="Calibri" w:hAnsi="Calibri"/>
                <w:sz w:val="11"/>
                <w:szCs w:val="11"/>
                <w:b w:val="1"/>
                <w:bCs w:val="1"/>
                <w:color w:val="auto"/>
              </w:rPr>
              <w:t>Total</w:t>
            </w:r>
          </w:p>
        </w:tc>
        <w:tc>
          <w:tcPr>
            <w:tcW w:w="880" w:type="dxa"/>
            <w:vAlign w:val="bottom"/>
            <w:tcBorders>
              <w:bottom w:val="single" w:sz="8" w:color="auto"/>
            </w:tcBorders>
          </w:tcPr>
          <w:p>
            <w:pPr>
              <w:spacing w:after="0"/>
              <w:rPr>
                <w:sz w:val="12"/>
                <w:szCs w:val="12"/>
                <w:color w:val="auto"/>
              </w:rPr>
            </w:pPr>
          </w:p>
        </w:tc>
        <w:tc>
          <w:tcPr>
            <w:tcW w:w="20" w:type="dxa"/>
            <w:vAlign w:val="bottom"/>
          </w:tcPr>
          <w:p>
            <w:pPr>
              <w:spacing w:after="0"/>
              <w:rPr>
                <w:sz w:val="12"/>
                <w:szCs w:val="12"/>
                <w:color w:val="auto"/>
              </w:rPr>
            </w:pPr>
          </w:p>
        </w:tc>
      </w:tr>
      <w:tr>
        <w:trPr>
          <w:trHeight w:val="125"/>
        </w:trPr>
        <w:tc>
          <w:tcPr>
            <w:tcW w:w="27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40" w:type="dxa"/>
            <w:vAlign w:val="bottom"/>
            <w:gridSpan w:val="3"/>
          </w:tcPr>
          <w:p>
            <w:pPr>
              <w:jc w:val="center"/>
              <w:ind w:right="340"/>
              <w:spacing w:after="0" w:line="125" w:lineRule="exact"/>
              <w:rPr>
                <w:sz w:val="20"/>
                <w:szCs w:val="20"/>
                <w:color w:val="auto"/>
              </w:rPr>
            </w:pPr>
            <w:r>
              <w:rPr>
                <w:rFonts w:ascii="Calibri" w:cs="Calibri" w:eastAsia="Calibri" w:hAnsi="Calibri"/>
                <w:sz w:val="11"/>
                <w:szCs w:val="11"/>
                <w:b w:val="1"/>
                <w:bCs w:val="1"/>
                <w:color w:val="auto"/>
                <w:w w:val="99"/>
              </w:rPr>
              <w:t>Without</w:t>
            </w:r>
          </w:p>
        </w:tc>
        <w:tc>
          <w:tcPr>
            <w:tcW w:w="80" w:type="dxa"/>
            <w:vAlign w:val="bottom"/>
          </w:tcPr>
          <w:p>
            <w:pPr>
              <w:spacing w:after="0"/>
              <w:rPr>
                <w:sz w:val="10"/>
                <w:szCs w:val="10"/>
                <w:color w:val="auto"/>
              </w:rPr>
            </w:pPr>
          </w:p>
        </w:tc>
        <w:tc>
          <w:tcPr>
            <w:tcW w:w="400" w:type="dxa"/>
            <w:vAlign w:val="bottom"/>
          </w:tcPr>
          <w:p>
            <w:pPr>
              <w:jc w:val="center"/>
              <w:ind w:right="16"/>
              <w:spacing w:after="0" w:line="125" w:lineRule="exact"/>
              <w:rPr>
                <w:sz w:val="20"/>
                <w:szCs w:val="20"/>
                <w:color w:val="auto"/>
              </w:rPr>
            </w:pPr>
            <w:r>
              <w:rPr>
                <w:rFonts w:ascii="Calibri" w:cs="Calibri" w:eastAsia="Calibri" w:hAnsi="Calibri"/>
                <w:sz w:val="11"/>
                <w:szCs w:val="11"/>
                <w:b w:val="1"/>
                <w:bCs w:val="1"/>
                <w:color w:val="auto"/>
              </w:rPr>
              <w:t>With</w:t>
            </w:r>
          </w:p>
        </w:tc>
        <w:tc>
          <w:tcPr>
            <w:tcW w:w="1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00" w:type="dxa"/>
            <w:vAlign w:val="bottom"/>
            <w:gridSpan w:val="2"/>
          </w:tcPr>
          <w:p>
            <w:pPr>
              <w:jc w:val="center"/>
              <w:ind w:right="100"/>
              <w:spacing w:after="0" w:line="125" w:lineRule="exact"/>
              <w:rPr>
                <w:sz w:val="20"/>
                <w:szCs w:val="20"/>
                <w:color w:val="auto"/>
              </w:rPr>
            </w:pPr>
            <w:r>
              <w:rPr>
                <w:rFonts w:ascii="Calibri" w:cs="Calibri" w:eastAsia="Calibri" w:hAnsi="Calibri"/>
                <w:sz w:val="11"/>
                <w:szCs w:val="11"/>
                <w:b w:val="1"/>
                <w:bCs w:val="1"/>
                <w:color w:val="auto"/>
              </w:rPr>
              <w:t>Without</w:t>
            </w:r>
          </w:p>
        </w:tc>
        <w:tc>
          <w:tcPr>
            <w:tcW w:w="3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80" w:type="dxa"/>
            <w:vAlign w:val="bottom"/>
          </w:tcPr>
          <w:p>
            <w:pPr>
              <w:jc w:val="center"/>
              <w:ind w:right="19"/>
              <w:spacing w:after="0" w:line="125" w:lineRule="exact"/>
              <w:rPr>
                <w:sz w:val="20"/>
                <w:szCs w:val="20"/>
                <w:color w:val="auto"/>
              </w:rPr>
            </w:pPr>
            <w:r>
              <w:rPr>
                <w:rFonts w:ascii="Calibri" w:cs="Calibri" w:eastAsia="Calibri" w:hAnsi="Calibri"/>
                <w:sz w:val="11"/>
                <w:szCs w:val="11"/>
                <w:b w:val="1"/>
                <w:bCs w:val="1"/>
                <w:color w:val="auto"/>
              </w:rPr>
              <w:t>With</w:t>
            </w:r>
          </w:p>
        </w:tc>
        <w:tc>
          <w:tcPr>
            <w:tcW w:w="20" w:type="dxa"/>
            <w:vAlign w:val="bottom"/>
          </w:tcPr>
          <w:p>
            <w:pPr>
              <w:spacing w:after="0"/>
              <w:rPr>
                <w:sz w:val="10"/>
                <w:szCs w:val="10"/>
                <w:color w:val="auto"/>
              </w:rPr>
            </w:pPr>
          </w:p>
        </w:tc>
      </w:tr>
      <w:tr>
        <w:trPr>
          <w:trHeight w:val="132"/>
        </w:trPr>
        <w:tc>
          <w:tcPr>
            <w:tcW w:w="27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40" w:type="dxa"/>
            <w:vAlign w:val="bottom"/>
            <w:gridSpan w:val="3"/>
          </w:tcPr>
          <w:p>
            <w:pPr>
              <w:jc w:val="center"/>
              <w:ind w:right="340"/>
              <w:spacing w:after="0" w:line="132" w:lineRule="exact"/>
              <w:rPr>
                <w:sz w:val="20"/>
                <w:szCs w:val="20"/>
                <w:color w:val="auto"/>
              </w:rPr>
            </w:pPr>
            <w:r>
              <w:rPr>
                <w:rFonts w:ascii="Calibri" w:cs="Calibri" w:eastAsia="Calibri" w:hAnsi="Calibri"/>
                <w:sz w:val="11"/>
                <w:szCs w:val="11"/>
                <w:b w:val="1"/>
                <w:bCs w:val="1"/>
                <w:color w:val="auto"/>
              </w:rPr>
              <w:t>Opton to</w:t>
            </w:r>
          </w:p>
        </w:tc>
        <w:tc>
          <w:tcPr>
            <w:tcW w:w="660" w:type="dxa"/>
            <w:vAlign w:val="bottom"/>
            <w:gridSpan w:val="3"/>
          </w:tcPr>
          <w:p>
            <w:pPr>
              <w:jc w:val="center"/>
              <w:ind w:right="180"/>
              <w:spacing w:after="0" w:line="132" w:lineRule="exact"/>
              <w:rPr>
                <w:sz w:val="20"/>
                <w:szCs w:val="20"/>
                <w:color w:val="auto"/>
              </w:rPr>
            </w:pPr>
            <w:r>
              <w:rPr>
                <w:rFonts w:ascii="Calibri" w:cs="Calibri" w:eastAsia="Calibri" w:hAnsi="Calibri"/>
                <w:sz w:val="11"/>
                <w:szCs w:val="11"/>
                <w:b w:val="1"/>
                <w:bCs w:val="1"/>
                <w:color w:val="auto"/>
              </w:rPr>
              <w:t>Opton to</w:t>
            </w: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00" w:type="dxa"/>
            <w:vAlign w:val="bottom"/>
            <w:gridSpan w:val="2"/>
          </w:tcPr>
          <w:p>
            <w:pPr>
              <w:jc w:val="center"/>
              <w:ind w:right="100"/>
              <w:spacing w:after="0" w:line="132" w:lineRule="exact"/>
              <w:rPr>
                <w:sz w:val="20"/>
                <w:szCs w:val="20"/>
                <w:color w:val="auto"/>
              </w:rPr>
            </w:pPr>
            <w:r>
              <w:rPr>
                <w:rFonts w:ascii="Calibri" w:cs="Calibri" w:eastAsia="Calibri" w:hAnsi="Calibri"/>
                <w:sz w:val="11"/>
                <w:szCs w:val="11"/>
                <w:b w:val="1"/>
                <w:bCs w:val="1"/>
                <w:color w:val="auto"/>
              </w:rPr>
              <w:t>Opton to</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00" w:type="dxa"/>
            <w:vAlign w:val="bottom"/>
            <w:gridSpan w:val="2"/>
          </w:tcPr>
          <w:p>
            <w:pPr>
              <w:jc w:val="center"/>
              <w:ind w:right="100"/>
              <w:spacing w:after="0" w:line="132" w:lineRule="exact"/>
              <w:rPr>
                <w:sz w:val="20"/>
                <w:szCs w:val="20"/>
                <w:color w:val="auto"/>
              </w:rPr>
            </w:pPr>
            <w:r>
              <w:rPr>
                <w:rFonts w:ascii="Calibri" w:cs="Calibri" w:eastAsia="Calibri" w:hAnsi="Calibri"/>
                <w:sz w:val="11"/>
                <w:szCs w:val="11"/>
                <w:b w:val="1"/>
                <w:bCs w:val="1"/>
                <w:color w:val="auto"/>
              </w:rPr>
              <w:t>Opton to</w:t>
            </w:r>
          </w:p>
        </w:tc>
      </w:tr>
      <w:tr>
        <w:trPr>
          <w:trHeight w:val="137"/>
        </w:trPr>
        <w:tc>
          <w:tcPr>
            <w:tcW w:w="27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40" w:type="dxa"/>
            <w:vAlign w:val="bottom"/>
            <w:gridSpan w:val="3"/>
          </w:tcPr>
          <w:p>
            <w:pPr>
              <w:jc w:val="center"/>
              <w:ind w:right="340"/>
              <w:spacing w:after="0"/>
              <w:rPr>
                <w:sz w:val="20"/>
                <w:szCs w:val="20"/>
                <w:color w:val="auto"/>
              </w:rPr>
            </w:pPr>
            <w:r>
              <w:rPr>
                <w:rFonts w:ascii="Calibri" w:cs="Calibri" w:eastAsia="Calibri" w:hAnsi="Calibri"/>
                <w:sz w:val="11"/>
                <w:szCs w:val="11"/>
                <w:b w:val="1"/>
                <w:bCs w:val="1"/>
                <w:color w:val="auto"/>
              </w:rPr>
              <w:t>Purchase</w:t>
            </w:r>
          </w:p>
        </w:tc>
        <w:tc>
          <w:tcPr>
            <w:tcW w:w="660" w:type="dxa"/>
            <w:vAlign w:val="bottom"/>
            <w:gridSpan w:val="3"/>
          </w:tcPr>
          <w:p>
            <w:pPr>
              <w:jc w:val="center"/>
              <w:ind w:right="160"/>
              <w:spacing w:after="0"/>
              <w:rPr>
                <w:sz w:val="20"/>
                <w:szCs w:val="20"/>
                <w:color w:val="auto"/>
              </w:rPr>
            </w:pPr>
            <w:r>
              <w:rPr>
                <w:rFonts w:ascii="Calibri" w:cs="Calibri" w:eastAsia="Calibri" w:hAnsi="Calibri"/>
                <w:sz w:val="11"/>
                <w:szCs w:val="11"/>
                <w:b w:val="1"/>
                <w:bCs w:val="1"/>
                <w:color w:val="auto"/>
              </w:rPr>
              <w:t>Purchase</w:t>
            </w: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00" w:type="dxa"/>
            <w:vAlign w:val="bottom"/>
            <w:gridSpan w:val="2"/>
          </w:tcPr>
          <w:p>
            <w:pPr>
              <w:jc w:val="center"/>
              <w:ind w:right="120"/>
              <w:spacing w:after="0"/>
              <w:rPr>
                <w:sz w:val="20"/>
                <w:szCs w:val="20"/>
                <w:color w:val="auto"/>
              </w:rPr>
            </w:pPr>
            <w:r>
              <w:rPr>
                <w:rFonts w:ascii="Calibri" w:cs="Calibri" w:eastAsia="Calibri" w:hAnsi="Calibri"/>
                <w:sz w:val="11"/>
                <w:szCs w:val="11"/>
                <w:b w:val="1"/>
                <w:bCs w:val="1"/>
                <w:color w:val="auto"/>
              </w:rPr>
              <w:t>Purchase</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00" w:type="dxa"/>
            <w:vAlign w:val="bottom"/>
            <w:gridSpan w:val="2"/>
          </w:tcPr>
          <w:p>
            <w:pPr>
              <w:jc w:val="center"/>
              <w:ind w:right="120"/>
              <w:spacing w:after="0"/>
              <w:rPr>
                <w:sz w:val="20"/>
                <w:szCs w:val="20"/>
                <w:color w:val="auto"/>
              </w:rPr>
            </w:pPr>
            <w:r>
              <w:rPr>
                <w:rFonts w:ascii="Calibri" w:cs="Calibri" w:eastAsia="Calibri" w:hAnsi="Calibri"/>
                <w:sz w:val="11"/>
                <w:szCs w:val="11"/>
                <w:b w:val="1"/>
                <w:bCs w:val="1"/>
                <w:color w:val="auto"/>
              </w:rPr>
              <w:t>Purchase</w:t>
            </w:r>
          </w:p>
        </w:tc>
      </w:tr>
      <w:tr>
        <w:trPr>
          <w:trHeight w:val="137"/>
        </w:trPr>
        <w:tc>
          <w:tcPr>
            <w:tcW w:w="27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40" w:type="dxa"/>
            <w:vAlign w:val="bottom"/>
            <w:gridSpan w:val="3"/>
          </w:tcPr>
          <w:p>
            <w:pPr>
              <w:jc w:val="center"/>
              <w:ind w:right="340"/>
              <w:spacing w:after="0"/>
              <w:rPr>
                <w:sz w:val="20"/>
                <w:szCs w:val="20"/>
                <w:color w:val="auto"/>
              </w:rPr>
            </w:pPr>
            <w:r>
              <w:rPr>
                <w:rFonts w:ascii="Calibri" w:cs="Calibri" w:eastAsia="Calibri" w:hAnsi="Calibri"/>
                <w:sz w:val="11"/>
                <w:szCs w:val="11"/>
                <w:b w:val="1"/>
                <w:bCs w:val="1"/>
                <w:color w:val="auto"/>
              </w:rPr>
              <w:t>Additonal</w:t>
            </w:r>
          </w:p>
        </w:tc>
        <w:tc>
          <w:tcPr>
            <w:tcW w:w="660" w:type="dxa"/>
            <w:vAlign w:val="bottom"/>
            <w:gridSpan w:val="3"/>
          </w:tcPr>
          <w:p>
            <w:pPr>
              <w:jc w:val="center"/>
              <w:ind w:right="180"/>
              <w:spacing w:after="0"/>
              <w:rPr>
                <w:sz w:val="20"/>
                <w:szCs w:val="20"/>
                <w:color w:val="auto"/>
              </w:rPr>
            </w:pPr>
            <w:r>
              <w:rPr>
                <w:rFonts w:ascii="Calibri" w:cs="Calibri" w:eastAsia="Calibri" w:hAnsi="Calibri"/>
                <w:sz w:val="11"/>
                <w:szCs w:val="11"/>
                <w:b w:val="1"/>
                <w:bCs w:val="1"/>
                <w:color w:val="auto"/>
              </w:rPr>
              <w:t>Additonal</w:t>
            </w:r>
          </w:p>
        </w:tc>
        <w:tc>
          <w:tcPr>
            <w:tcW w:w="160" w:type="dxa"/>
            <w:vAlign w:val="bottom"/>
          </w:tcPr>
          <w:p>
            <w:pPr>
              <w:spacing w:after="0"/>
              <w:rPr>
                <w:sz w:val="11"/>
                <w:szCs w:val="11"/>
                <w:color w:val="auto"/>
              </w:rPr>
            </w:pPr>
          </w:p>
        </w:tc>
        <w:tc>
          <w:tcPr>
            <w:tcW w:w="900" w:type="dxa"/>
            <w:vAlign w:val="bottom"/>
            <w:gridSpan w:val="3"/>
          </w:tcPr>
          <w:p>
            <w:pPr>
              <w:spacing w:after="0"/>
              <w:rPr>
                <w:sz w:val="20"/>
                <w:szCs w:val="20"/>
                <w:color w:val="auto"/>
              </w:rPr>
            </w:pPr>
            <w:r>
              <w:rPr>
                <w:rFonts w:ascii="Calibri" w:cs="Calibri" w:eastAsia="Calibri" w:hAnsi="Calibri"/>
                <w:sz w:val="11"/>
                <w:szCs w:val="11"/>
                <w:b w:val="1"/>
                <w:bCs w:val="1"/>
                <w:color w:val="auto"/>
              </w:rPr>
              <w:t>Per Pre-Funded</w:t>
            </w: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00" w:type="dxa"/>
            <w:vAlign w:val="bottom"/>
            <w:gridSpan w:val="2"/>
          </w:tcPr>
          <w:p>
            <w:pPr>
              <w:jc w:val="center"/>
              <w:ind w:right="100"/>
              <w:spacing w:after="0"/>
              <w:rPr>
                <w:sz w:val="20"/>
                <w:szCs w:val="20"/>
                <w:color w:val="auto"/>
              </w:rPr>
            </w:pPr>
            <w:r>
              <w:rPr>
                <w:rFonts w:ascii="Calibri" w:cs="Calibri" w:eastAsia="Calibri" w:hAnsi="Calibri"/>
                <w:sz w:val="11"/>
                <w:szCs w:val="11"/>
                <w:b w:val="1"/>
                <w:bCs w:val="1"/>
                <w:color w:val="auto"/>
              </w:rPr>
              <w:t>Additonal</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00" w:type="dxa"/>
            <w:vAlign w:val="bottom"/>
            <w:gridSpan w:val="2"/>
          </w:tcPr>
          <w:p>
            <w:pPr>
              <w:jc w:val="center"/>
              <w:ind w:right="100"/>
              <w:spacing w:after="0"/>
              <w:rPr>
                <w:sz w:val="20"/>
                <w:szCs w:val="20"/>
                <w:color w:val="auto"/>
              </w:rPr>
            </w:pPr>
            <w:r>
              <w:rPr>
                <w:rFonts w:ascii="Calibri" w:cs="Calibri" w:eastAsia="Calibri" w:hAnsi="Calibri"/>
                <w:sz w:val="11"/>
                <w:szCs w:val="11"/>
                <w:b w:val="1"/>
                <w:bCs w:val="1"/>
                <w:color w:val="auto"/>
              </w:rPr>
              <w:t>Additonal</w:t>
            </w:r>
          </w:p>
        </w:tc>
      </w:tr>
      <w:tr>
        <w:trPr>
          <w:trHeight w:val="143"/>
        </w:trPr>
        <w:tc>
          <w:tcPr>
            <w:tcW w:w="27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gridSpan w:val="2"/>
          </w:tcPr>
          <w:p>
            <w:pPr>
              <w:jc w:val="center"/>
              <w:ind w:right="420"/>
              <w:spacing w:after="0"/>
              <w:rPr>
                <w:sz w:val="20"/>
                <w:szCs w:val="20"/>
                <w:color w:val="auto"/>
              </w:rPr>
            </w:pPr>
            <w:r>
              <w:rPr>
                <w:rFonts w:ascii="Calibri" w:cs="Calibri" w:eastAsia="Calibri" w:hAnsi="Calibri"/>
                <w:sz w:val="11"/>
                <w:szCs w:val="11"/>
                <w:b w:val="1"/>
                <w:bCs w:val="1"/>
                <w:color w:val="auto"/>
                <w:w w:val="98"/>
              </w:rPr>
              <w:t>Shares</w:t>
            </w:r>
          </w:p>
        </w:tc>
        <w:tc>
          <w:tcPr>
            <w:tcW w:w="80" w:type="dxa"/>
            <w:vAlign w:val="bottom"/>
          </w:tcPr>
          <w:p>
            <w:pPr>
              <w:spacing w:after="0"/>
              <w:rPr>
                <w:sz w:val="12"/>
                <w:szCs w:val="12"/>
                <w:color w:val="auto"/>
              </w:rPr>
            </w:pPr>
          </w:p>
        </w:tc>
        <w:tc>
          <w:tcPr>
            <w:tcW w:w="580" w:type="dxa"/>
            <w:vAlign w:val="bottom"/>
            <w:gridSpan w:val="2"/>
          </w:tcPr>
          <w:p>
            <w:pPr>
              <w:jc w:val="center"/>
              <w:ind w:right="260"/>
              <w:spacing w:after="0"/>
              <w:rPr>
                <w:sz w:val="20"/>
                <w:szCs w:val="20"/>
                <w:color w:val="auto"/>
              </w:rPr>
            </w:pPr>
            <w:r>
              <w:rPr>
                <w:rFonts w:ascii="Calibri" w:cs="Calibri" w:eastAsia="Calibri" w:hAnsi="Calibri"/>
                <w:sz w:val="11"/>
                <w:szCs w:val="11"/>
                <w:b w:val="1"/>
                <w:bCs w:val="1"/>
                <w:color w:val="auto"/>
              </w:rPr>
              <w:t>Shares</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gridSpan w:val="2"/>
          </w:tcPr>
          <w:p>
            <w:pPr>
              <w:jc w:val="right"/>
              <w:ind w:right="340"/>
              <w:spacing w:after="0"/>
              <w:rPr>
                <w:sz w:val="20"/>
                <w:szCs w:val="20"/>
                <w:color w:val="auto"/>
              </w:rPr>
            </w:pPr>
            <w:r>
              <w:rPr>
                <w:rFonts w:ascii="Calibri" w:cs="Calibri" w:eastAsia="Calibri" w:hAnsi="Calibri"/>
                <w:sz w:val="11"/>
                <w:szCs w:val="11"/>
                <w:b w:val="1"/>
                <w:bCs w:val="1"/>
                <w:color w:val="auto"/>
              </w:rPr>
              <w:t>Warrant</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gridSpan w:val="2"/>
          </w:tcPr>
          <w:p>
            <w:pPr>
              <w:jc w:val="center"/>
              <w:ind w:right="100"/>
              <w:spacing w:after="0"/>
              <w:rPr>
                <w:sz w:val="20"/>
                <w:szCs w:val="20"/>
                <w:color w:val="auto"/>
              </w:rPr>
            </w:pPr>
            <w:r>
              <w:rPr>
                <w:rFonts w:ascii="Calibri" w:cs="Calibri" w:eastAsia="Calibri" w:hAnsi="Calibri"/>
                <w:sz w:val="11"/>
                <w:szCs w:val="11"/>
                <w:b w:val="1"/>
                <w:bCs w:val="1"/>
                <w:color w:val="auto"/>
              </w:rPr>
              <w:t>Shares</w:t>
            </w: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gridSpan w:val="2"/>
          </w:tcPr>
          <w:p>
            <w:pPr>
              <w:jc w:val="center"/>
              <w:ind w:right="100"/>
              <w:spacing w:after="0"/>
              <w:rPr>
                <w:sz w:val="20"/>
                <w:szCs w:val="20"/>
                <w:color w:val="auto"/>
              </w:rPr>
            </w:pPr>
            <w:r>
              <w:rPr>
                <w:rFonts w:ascii="Calibri" w:cs="Calibri" w:eastAsia="Calibri" w:hAnsi="Calibri"/>
                <w:sz w:val="11"/>
                <w:szCs w:val="11"/>
                <w:b w:val="1"/>
                <w:bCs w:val="1"/>
                <w:color w:val="auto"/>
              </w:rPr>
              <w:t>Shares</w:t>
            </w:r>
          </w:p>
        </w:tc>
      </w:tr>
      <w:tr>
        <w:trPr>
          <w:trHeight w:val="168"/>
        </w:trPr>
        <w:tc>
          <w:tcPr>
            <w:tcW w:w="2720" w:type="dxa"/>
            <w:vAlign w:val="bottom"/>
            <w:tcBorders>
              <w:top w:val="single" w:sz="8" w:color="CCEEFF"/>
            </w:tcBorders>
            <w:shd w:val="clear" w:color="auto" w:fill="CCEEFF"/>
          </w:tcPr>
          <w:p>
            <w:pPr>
              <w:spacing w:after="0" w:line="156" w:lineRule="exact"/>
              <w:rPr>
                <w:sz w:val="20"/>
                <w:szCs w:val="20"/>
                <w:color w:val="auto"/>
              </w:rPr>
            </w:pPr>
            <w:r>
              <w:rPr>
                <w:rFonts w:ascii="Calibri" w:cs="Calibri" w:eastAsia="Calibri" w:hAnsi="Calibri"/>
                <w:sz w:val="14"/>
                <w:szCs w:val="14"/>
                <w:color w:val="auto"/>
              </w:rPr>
              <w:t>Public ofering price</w:t>
            </w:r>
          </w:p>
        </w:tc>
        <w:tc>
          <w:tcPr>
            <w:tcW w:w="18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auto"/>
            </w:tcBorders>
            <w:shd w:val="clear" w:color="auto" w:fill="CCEEFF"/>
          </w:tcPr>
          <w:p>
            <w:pPr>
              <w:jc w:val="right"/>
              <w:spacing w:after="0" w:line="167" w:lineRule="exact"/>
              <w:rPr>
                <w:sz w:val="20"/>
                <w:szCs w:val="20"/>
                <w:color w:val="auto"/>
              </w:rPr>
            </w:pPr>
            <w:r>
              <w:rPr>
                <w:rFonts w:ascii="Calibri" w:cs="Calibri" w:eastAsia="Calibri" w:hAnsi="Calibri"/>
                <w:sz w:val="14"/>
                <w:szCs w:val="14"/>
                <w:color w:val="auto"/>
                <w:w w:val="83"/>
              </w:rPr>
              <w:t>$</w:t>
            </w:r>
          </w:p>
        </w:tc>
        <w:tc>
          <w:tcPr>
            <w:tcW w:w="420" w:type="dxa"/>
            <w:vAlign w:val="bottom"/>
            <w:tcBorders>
              <w:top w:val="single" w:sz="8" w:color="auto"/>
            </w:tcBorders>
            <w:shd w:val="clear" w:color="auto" w:fill="CCEEFF"/>
          </w:tcPr>
          <w:p>
            <w:pPr>
              <w:jc w:val="right"/>
              <w:spacing w:after="0" w:line="167" w:lineRule="exact"/>
              <w:rPr>
                <w:sz w:val="20"/>
                <w:szCs w:val="20"/>
                <w:color w:val="auto"/>
              </w:rPr>
            </w:pPr>
            <w:r>
              <w:rPr>
                <w:rFonts w:ascii="Calibri" w:cs="Calibri" w:eastAsia="Calibri" w:hAnsi="Calibri"/>
                <w:sz w:val="14"/>
                <w:szCs w:val="14"/>
                <w:color w:val="auto"/>
              </w:rPr>
              <w:t>37.50</w:t>
            </w:r>
          </w:p>
        </w:tc>
        <w:tc>
          <w:tcPr>
            <w:tcW w:w="34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Calibri" w:cs="Calibri" w:eastAsia="Calibri" w:hAnsi="Calibri"/>
                <w:sz w:val="11"/>
                <w:szCs w:val="11"/>
                <w:color w:val="auto"/>
                <w:w w:val="70"/>
              </w:rPr>
              <w:t>$</w:t>
            </w:r>
          </w:p>
        </w:tc>
        <w:tc>
          <w:tcPr>
            <w:tcW w:w="400" w:type="dxa"/>
            <w:vAlign w:val="bottom"/>
            <w:tcBorders>
              <w:top w:val="single" w:sz="8" w:color="auto"/>
            </w:tcBorders>
            <w:shd w:val="clear" w:color="auto" w:fill="CCEEFF"/>
          </w:tcPr>
          <w:p>
            <w:pPr>
              <w:jc w:val="right"/>
              <w:spacing w:after="0" w:line="167" w:lineRule="exact"/>
              <w:rPr>
                <w:sz w:val="20"/>
                <w:szCs w:val="20"/>
                <w:color w:val="auto"/>
              </w:rPr>
            </w:pPr>
            <w:r>
              <w:rPr>
                <w:rFonts w:ascii="Calibri" w:cs="Calibri" w:eastAsia="Calibri" w:hAnsi="Calibri"/>
                <w:sz w:val="14"/>
                <w:szCs w:val="14"/>
                <w:color w:val="auto"/>
              </w:rPr>
              <w:t>37.50</w:t>
            </w:r>
          </w:p>
        </w:tc>
        <w:tc>
          <w:tcPr>
            <w:tcW w:w="18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line="167" w:lineRule="exact"/>
              <w:rPr>
                <w:sz w:val="20"/>
                <w:szCs w:val="20"/>
                <w:color w:val="auto"/>
              </w:rPr>
            </w:pPr>
            <w:r>
              <w:rPr>
                <w:rFonts w:ascii="Calibri" w:cs="Calibri" w:eastAsia="Calibri" w:hAnsi="Calibri"/>
                <w:sz w:val="14"/>
                <w:szCs w:val="14"/>
                <w:color w:val="auto"/>
              </w:rPr>
              <w:t>$</w:t>
            </w:r>
          </w:p>
        </w:tc>
        <w:tc>
          <w:tcPr>
            <w:tcW w:w="600" w:type="dxa"/>
            <w:vAlign w:val="bottom"/>
            <w:tcBorders>
              <w:top w:val="single" w:sz="8" w:color="auto"/>
            </w:tcBorders>
            <w:shd w:val="clear" w:color="auto" w:fill="CCEEFF"/>
          </w:tcPr>
          <w:p>
            <w:pPr>
              <w:jc w:val="right"/>
              <w:spacing w:after="0" w:line="167" w:lineRule="exact"/>
              <w:rPr>
                <w:sz w:val="20"/>
                <w:szCs w:val="20"/>
                <w:color w:val="auto"/>
              </w:rPr>
            </w:pPr>
            <w:r>
              <w:rPr>
                <w:rFonts w:ascii="Calibri" w:cs="Calibri" w:eastAsia="Calibri" w:hAnsi="Calibri"/>
                <w:sz w:val="14"/>
                <w:szCs w:val="14"/>
                <w:color w:val="auto"/>
              </w:rPr>
              <w:t>37.499</w:t>
            </w:r>
          </w:p>
        </w:tc>
        <w:tc>
          <w:tcPr>
            <w:tcW w:w="18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auto"/>
            </w:tcBorders>
            <w:shd w:val="clear" w:color="auto" w:fill="CCEEFF"/>
          </w:tcPr>
          <w:p>
            <w:pPr>
              <w:jc w:val="right"/>
              <w:spacing w:after="0" w:line="167" w:lineRule="exact"/>
              <w:rPr>
                <w:sz w:val="20"/>
                <w:szCs w:val="20"/>
                <w:color w:val="auto"/>
              </w:rPr>
            </w:pPr>
            <w:r>
              <w:rPr>
                <w:rFonts w:ascii="Calibri" w:cs="Calibri" w:eastAsia="Calibri" w:hAnsi="Calibri"/>
                <w:sz w:val="14"/>
                <w:szCs w:val="14"/>
                <w:color w:val="auto"/>
                <w:w w:val="83"/>
              </w:rPr>
              <w:t>$</w:t>
            </w:r>
          </w:p>
        </w:tc>
        <w:tc>
          <w:tcPr>
            <w:tcW w:w="860" w:type="dxa"/>
            <w:vAlign w:val="bottom"/>
            <w:tcBorders>
              <w:top w:val="single" w:sz="8" w:color="auto"/>
            </w:tcBorders>
            <w:shd w:val="clear" w:color="auto" w:fill="CCEEFF"/>
          </w:tcPr>
          <w:p>
            <w:pPr>
              <w:jc w:val="right"/>
              <w:spacing w:after="0" w:line="167" w:lineRule="exact"/>
              <w:rPr>
                <w:sz w:val="20"/>
                <w:szCs w:val="20"/>
                <w:color w:val="auto"/>
              </w:rPr>
            </w:pPr>
            <w:r>
              <w:rPr>
                <w:rFonts w:ascii="Calibri" w:cs="Calibri" w:eastAsia="Calibri" w:hAnsi="Calibri"/>
                <w:sz w:val="14"/>
                <w:szCs w:val="14"/>
                <w:color w:val="auto"/>
                <w:w w:val="94"/>
              </w:rPr>
              <w:t>399,998,279.17</w:t>
            </w:r>
          </w:p>
        </w:tc>
        <w:tc>
          <w:tcPr>
            <w:tcW w:w="40" w:type="dxa"/>
            <w:vAlign w:val="bottom"/>
            <w:tcBorders>
              <w:top w:val="single" w:sz="8" w:color="CCEEFF"/>
            </w:tcBorders>
            <w:shd w:val="clear" w:color="auto" w:fill="CCEEFF"/>
          </w:tcPr>
          <w:p>
            <w:pPr>
              <w:spacing w:after="0"/>
              <w:rPr>
                <w:sz w:val="14"/>
                <w:szCs w:val="14"/>
                <w:color w:val="auto"/>
              </w:rPr>
            </w:pPr>
          </w:p>
        </w:tc>
        <w:tc>
          <w:tcPr>
            <w:tcW w:w="30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auto"/>
            </w:tcBorders>
            <w:shd w:val="clear" w:color="auto" w:fill="CCEEFF"/>
          </w:tcPr>
          <w:p>
            <w:pPr>
              <w:jc w:val="right"/>
              <w:spacing w:after="0" w:line="167" w:lineRule="exact"/>
              <w:rPr>
                <w:sz w:val="20"/>
                <w:szCs w:val="20"/>
                <w:color w:val="auto"/>
              </w:rPr>
            </w:pPr>
            <w:r>
              <w:rPr>
                <w:rFonts w:ascii="Calibri" w:cs="Calibri" w:eastAsia="Calibri" w:hAnsi="Calibri"/>
                <w:sz w:val="14"/>
                <w:szCs w:val="14"/>
                <w:color w:val="auto"/>
                <w:w w:val="83"/>
              </w:rPr>
              <w:t>$</w:t>
            </w:r>
          </w:p>
        </w:tc>
        <w:tc>
          <w:tcPr>
            <w:tcW w:w="880" w:type="dxa"/>
            <w:vAlign w:val="bottom"/>
            <w:tcBorders>
              <w:top w:val="single" w:sz="8" w:color="auto"/>
            </w:tcBorders>
            <w:shd w:val="clear" w:color="auto" w:fill="CCEEFF"/>
          </w:tcPr>
          <w:p>
            <w:pPr>
              <w:jc w:val="right"/>
              <w:spacing w:after="0" w:line="167" w:lineRule="exact"/>
              <w:rPr>
                <w:sz w:val="20"/>
                <w:szCs w:val="20"/>
                <w:color w:val="auto"/>
              </w:rPr>
            </w:pPr>
            <w:r>
              <w:rPr>
                <w:rFonts w:ascii="Calibri" w:cs="Calibri" w:eastAsia="Calibri" w:hAnsi="Calibri"/>
                <w:sz w:val="14"/>
                <w:szCs w:val="14"/>
                <w:color w:val="auto"/>
                <w:w w:val="97"/>
              </w:rPr>
              <w:t>459,998,279.17</w:t>
            </w:r>
          </w:p>
        </w:tc>
        <w:tc>
          <w:tcPr>
            <w:tcW w:w="20" w:type="dxa"/>
            <w:vAlign w:val="bottom"/>
            <w:tcBorders>
              <w:top w:val="single" w:sz="8" w:color="CCEEFF"/>
            </w:tcBorders>
            <w:shd w:val="clear" w:color="auto" w:fill="CCEEFF"/>
          </w:tcPr>
          <w:p>
            <w:pPr>
              <w:spacing w:after="0"/>
              <w:rPr>
                <w:sz w:val="14"/>
                <w:szCs w:val="14"/>
                <w:color w:val="auto"/>
              </w:rPr>
            </w:pPr>
          </w:p>
        </w:tc>
      </w:tr>
      <w:tr>
        <w:trPr>
          <w:trHeight w:val="151"/>
        </w:trPr>
        <w:tc>
          <w:tcPr>
            <w:tcW w:w="2720" w:type="dxa"/>
            <w:vAlign w:val="bottom"/>
          </w:tcPr>
          <w:p>
            <w:pPr>
              <w:spacing w:after="0" w:line="151" w:lineRule="exact"/>
              <w:rPr>
                <w:sz w:val="20"/>
                <w:szCs w:val="20"/>
                <w:color w:val="auto"/>
              </w:rPr>
            </w:pPr>
            <w:r>
              <w:rPr>
                <w:rFonts w:ascii="Calibri" w:cs="Calibri" w:eastAsia="Calibri" w:hAnsi="Calibri"/>
                <w:sz w:val="14"/>
                <w:szCs w:val="14"/>
                <w:color w:val="auto"/>
              </w:rPr>
              <w:t>Underwritng discounts and commissions paid</w:t>
            </w: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67"/>
        </w:trPr>
        <w:tc>
          <w:tcPr>
            <w:tcW w:w="2720" w:type="dxa"/>
            <w:vAlign w:val="bottom"/>
          </w:tcPr>
          <w:p>
            <w:pPr>
              <w:ind w:left="140"/>
              <w:spacing w:after="0" w:line="167" w:lineRule="exact"/>
              <w:rPr>
                <w:sz w:val="20"/>
                <w:szCs w:val="20"/>
                <w:color w:val="auto"/>
              </w:rPr>
            </w:pPr>
            <w:r>
              <w:rPr>
                <w:rFonts w:ascii="Calibri" w:cs="Calibri" w:eastAsia="Calibri" w:hAnsi="Calibri"/>
                <w:sz w:val="14"/>
                <w:szCs w:val="14"/>
                <w:color w:val="auto"/>
              </w:rPr>
              <w:t>by us</w:t>
            </w:r>
          </w:p>
        </w:tc>
        <w:tc>
          <w:tcPr>
            <w:tcW w:w="260" w:type="dxa"/>
            <w:vAlign w:val="bottom"/>
            <w:gridSpan w:val="2"/>
          </w:tcPr>
          <w:p>
            <w:pPr>
              <w:jc w:val="right"/>
              <w:spacing w:after="0" w:line="167" w:lineRule="exact"/>
              <w:rPr>
                <w:sz w:val="20"/>
                <w:szCs w:val="20"/>
                <w:color w:val="auto"/>
              </w:rPr>
            </w:pPr>
            <w:r>
              <w:rPr>
                <w:rFonts w:ascii="Calibri" w:cs="Calibri" w:eastAsia="Calibri" w:hAnsi="Calibri"/>
                <w:sz w:val="14"/>
                <w:szCs w:val="14"/>
                <w:color w:val="auto"/>
              </w:rPr>
              <w:t>$</w:t>
            </w:r>
          </w:p>
        </w:tc>
        <w:tc>
          <w:tcPr>
            <w:tcW w:w="760" w:type="dxa"/>
            <w:vAlign w:val="bottom"/>
            <w:gridSpan w:val="2"/>
          </w:tcPr>
          <w:p>
            <w:pPr>
              <w:jc w:val="right"/>
              <w:ind w:right="340"/>
              <w:spacing w:after="0" w:line="167" w:lineRule="exact"/>
              <w:rPr>
                <w:sz w:val="20"/>
                <w:szCs w:val="20"/>
                <w:color w:val="auto"/>
              </w:rPr>
            </w:pPr>
            <w:r>
              <w:rPr>
                <w:rFonts w:ascii="Calibri" w:cs="Calibri" w:eastAsia="Calibri" w:hAnsi="Calibri"/>
                <w:sz w:val="14"/>
                <w:szCs w:val="14"/>
                <w:color w:val="auto"/>
              </w:rPr>
              <w:t>2.25</w:t>
            </w:r>
          </w:p>
        </w:tc>
        <w:tc>
          <w:tcPr>
            <w:tcW w:w="80" w:type="dxa"/>
            <w:vAlign w:val="bottom"/>
          </w:tcPr>
          <w:p>
            <w:pPr>
              <w:jc w:val="right"/>
              <w:spacing w:after="0"/>
              <w:rPr>
                <w:sz w:val="20"/>
                <w:szCs w:val="20"/>
                <w:color w:val="auto"/>
              </w:rPr>
            </w:pPr>
            <w:r>
              <w:rPr>
                <w:rFonts w:ascii="Calibri" w:cs="Calibri" w:eastAsia="Calibri" w:hAnsi="Calibri"/>
                <w:sz w:val="11"/>
                <w:szCs w:val="11"/>
                <w:color w:val="auto"/>
                <w:w w:val="70"/>
              </w:rPr>
              <w:t>$</w:t>
            </w:r>
          </w:p>
        </w:tc>
        <w:tc>
          <w:tcPr>
            <w:tcW w:w="580" w:type="dxa"/>
            <w:vAlign w:val="bottom"/>
            <w:gridSpan w:val="2"/>
          </w:tcPr>
          <w:p>
            <w:pPr>
              <w:jc w:val="right"/>
              <w:ind w:right="180"/>
              <w:spacing w:after="0" w:line="167" w:lineRule="exact"/>
              <w:rPr>
                <w:sz w:val="20"/>
                <w:szCs w:val="20"/>
                <w:color w:val="auto"/>
              </w:rPr>
            </w:pPr>
            <w:r>
              <w:rPr>
                <w:rFonts w:ascii="Calibri" w:cs="Calibri" w:eastAsia="Calibri" w:hAnsi="Calibri"/>
                <w:sz w:val="14"/>
                <w:szCs w:val="14"/>
                <w:color w:val="auto"/>
              </w:rPr>
              <w:t>2.25</w:t>
            </w:r>
          </w:p>
        </w:tc>
        <w:tc>
          <w:tcPr>
            <w:tcW w:w="280" w:type="dxa"/>
            <w:vAlign w:val="bottom"/>
            <w:gridSpan w:val="2"/>
          </w:tcPr>
          <w:p>
            <w:pPr>
              <w:ind w:left="160"/>
              <w:spacing w:after="0" w:line="167" w:lineRule="exact"/>
              <w:rPr>
                <w:sz w:val="20"/>
                <w:szCs w:val="20"/>
                <w:color w:val="auto"/>
              </w:rPr>
            </w:pPr>
            <w:r>
              <w:rPr>
                <w:rFonts w:ascii="Calibri" w:cs="Calibri" w:eastAsia="Calibri" w:hAnsi="Calibri"/>
                <w:sz w:val="14"/>
                <w:szCs w:val="14"/>
                <w:color w:val="auto"/>
              </w:rPr>
              <w:t>$</w:t>
            </w:r>
          </w:p>
        </w:tc>
        <w:tc>
          <w:tcPr>
            <w:tcW w:w="780" w:type="dxa"/>
            <w:vAlign w:val="bottom"/>
            <w:gridSpan w:val="2"/>
          </w:tcPr>
          <w:p>
            <w:pPr>
              <w:jc w:val="right"/>
              <w:ind w:right="160"/>
              <w:spacing w:after="0" w:line="167" w:lineRule="exact"/>
              <w:rPr>
                <w:sz w:val="20"/>
                <w:szCs w:val="20"/>
                <w:color w:val="auto"/>
              </w:rPr>
            </w:pPr>
            <w:r>
              <w:rPr>
                <w:rFonts w:ascii="Calibri" w:cs="Calibri" w:eastAsia="Calibri" w:hAnsi="Calibri"/>
                <w:sz w:val="14"/>
                <w:szCs w:val="14"/>
                <w:color w:val="auto"/>
              </w:rPr>
              <w:t>2.25</w:t>
            </w:r>
          </w:p>
        </w:tc>
        <w:tc>
          <w:tcPr>
            <w:tcW w:w="240" w:type="dxa"/>
            <w:vAlign w:val="bottom"/>
            <w:gridSpan w:val="2"/>
          </w:tcPr>
          <w:p>
            <w:pPr>
              <w:jc w:val="right"/>
              <w:spacing w:after="0" w:line="167" w:lineRule="exact"/>
              <w:rPr>
                <w:sz w:val="20"/>
                <w:szCs w:val="20"/>
                <w:color w:val="auto"/>
              </w:rPr>
            </w:pPr>
            <w:r>
              <w:rPr>
                <w:rFonts w:ascii="Calibri" w:cs="Calibri" w:eastAsia="Calibri" w:hAnsi="Calibri"/>
                <w:sz w:val="14"/>
                <w:szCs w:val="14"/>
                <w:color w:val="auto"/>
              </w:rPr>
              <w:t>$</w:t>
            </w:r>
          </w:p>
        </w:tc>
        <w:tc>
          <w:tcPr>
            <w:tcW w:w="900" w:type="dxa"/>
            <w:vAlign w:val="bottom"/>
            <w:gridSpan w:val="2"/>
          </w:tcPr>
          <w:p>
            <w:pPr>
              <w:jc w:val="right"/>
              <w:ind w:right="20"/>
              <w:spacing w:after="0" w:line="167" w:lineRule="exact"/>
              <w:rPr>
                <w:sz w:val="20"/>
                <w:szCs w:val="20"/>
                <w:color w:val="auto"/>
              </w:rPr>
            </w:pPr>
            <w:r>
              <w:rPr>
                <w:rFonts w:ascii="Calibri" w:cs="Calibri" w:eastAsia="Calibri" w:hAnsi="Calibri"/>
                <w:sz w:val="14"/>
                <w:szCs w:val="14"/>
                <w:color w:val="auto"/>
              </w:rPr>
              <w:t>24,000,000.75</w:t>
            </w:r>
          </w:p>
        </w:tc>
        <w:tc>
          <w:tcPr>
            <w:tcW w:w="380" w:type="dxa"/>
            <w:vAlign w:val="bottom"/>
            <w:gridSpan w:val="2"/>
          </w:tcPr>
          <w:p>
            <w:pPr>
              <w:jc w:val="right"/>
              <w:spacing w:after="0" w:line="167" w:lineRule="exact"/>
              <w:rPr>
                <w:sz w:val="20"/>
                <w:szCs w:val="20"/>
                <w:color w:val="auto"/>
              </w:rPr>
            </w:pPr>
            <w:r>
              <w:rPr>
                <w:rFonts w:ascii="Calibri" w:cs="Calibri" w:eastAsia="Calibri" w:hAnsi="Calibri"/>
                <w:sz w:val="14"/>
                <w:szCs w:val="14"/>
                <w:color w:val="auto"/>
              </w:rPr>
              <w:t>$</w:t>
            </w:r>
          </w:p>
        </w:tc>
        <w:tc>
          <w:tcPr>
            <w:tcW w:w="900" w:type="dxa"/>
            <w:vAlign w:val="bottom"/>
            <w:gridSpan w:val="2"/>
          </w:tcPr>
          <w:p>
            <w:pPr>
              <w:jc w:val="right"/>
              <w:ind w:right="20"/>
              <w:spacing w:after="0" w:line="167" w:lineRule="exact"/>
              <w:rPr>
                <w:sz w:val="20"/>
                <w:szCs w:val="20"/>
                <w:color w:val="auto"/>
              </w:rPr>
            </w:pPr>
            <w:r>
              <w:rPr>
                <w:rFonts w:ascii="Calibri" w:cs="Calibri" w:eastAsia="Calibri" w:hAnsi="Calibri"/>
                <w:sz w:val="14"/>
                <w:szCs w:val="14"/>
                <w:color w:val="auto"/>
              </w:rPr>
              <w:t>27,600,000.75</w:t>
            </w:r>
          </w:p>
        </w:tc>
      </w:tr>
      <w:tr>
        <w:trPr>
          <w:trHeight w:val="187"/>
        </w:trPr>
        <w:tc>
          <w:tcPr>
            <w:tcW w:w="2720" w:type="dxa"/>
            <w:vAlign w:val="bottom"/>
            <w:shd w:val="clear" w:color="auto" w:fill="CCEEFF"/>
          </w:tcPr>
          <w:p>
            <w:pPr>
              <w:spacing w:after="0"/>
              <w:rPr>
                <w:sz w:val="20"/>
                <w:szCs w:val="20"/>
                <w:color w:val="auto"/>
              </w:rPr>
            </w:pPr>
            <w:r>
              <w:rPr>
                <w:rFonts w:ascii="Calibri" w:cs="Calibri" w:eastAsia="Calibri" w:hAnsi="Calibri"/>
                <w:sz w:val="14"/>
                <w:szCs w:val="14"/>
                <w:color w:val="auto"/>
              </w:rPr>
              <w:t>Proceeds to us, before expenses</w:t>
            </w:r>
          </w:p>
        </w:tc>
        <w:tc>
          <w:tcPr>
            <w:tcW w:w="260" w:type="dxa"/>
            <w:vAlign w:val="bottom"/>
            <w:gridSpan w:val="2"/>
            <w:shd w:val="clear" w:color="auto" w:fill="CCEEFF"/>
          </w:tcPr>
          <w:p>
            <w:pPr>
              <w:jc w:val="right"/>
              <w:spacing w:after="0"/>
              <w:rPr>
                <w:sz w:val="20"/>
                <w:szCs w:val="20"/>
                <w:color w:val="auto"/>
              </w:rPr>
            </w:pPr>
            <w:r>
              <w:rPr>
                <w:rFonts w:ascii="Calibri" w:cs="Calibri" w:eastAsia="Calibri" w:hAnsi="Calibri"/>
                <w:sz w:val="14"/>
                <w:szCs w:val="14"/>
                <w:color w:val="auto"/>
              </w:rPr>
              <w:t>$</w:t>
            </w:r>
          </w:p>
        </w:tc>
        <w:tc>
          <w:tcPr>
            <w:tcW w:w="760" w:type="dxa"/>
            <w:vAlign w:val="bottom"/>
            <w:gridSpan w:val="2"/>
            <w:shd w:val="clear" w:color="auto" w:fill="CCEEFF"/>
          </w:tcPr>
          <w:p>
            <w:pPr>
              <w:jc w:val="right"/>
              <w:ind w:right="340"/>
              <w:spacing w:after="0"/>
              <w:rPr>
                <w:sz w:val="20"/>
                <w:szCs w:val="20"/>
                <w:color w:val="auto"/>
              </w:rPr>
            </w:pPr>
            <w:r>
              <w:rPr>
                <w:rFonts w:ascii="Calibri" w:cs="Calibri" w:eastAsia="Calibri" w:hAnsi="Calibri"/>
                <w:sz w:val="14"/>
                <w:szCs w:val="14"/>
                <w:color w:val="auto"/>
              </w:rPr>
              <w:t>35.25</w:t>
            </w:r>
          </w:p>
        </w:tc>
        <w:tc>
          <w:tcPr>
            <w:tcW w:w="80" w:type="dxa"/>
            <w:vAlign w:val="bottom"/>
            <w:shd w:val="clear" w:color="auto" w:fill="CCEEFF"/>
          </w:tcPr>
          <w:p>
            <w:pPr>
              <w:jc w:val="right"/>
              <w:spacing w:after="0"/>
              <w:rPr>
                <w:sz w:val="20"/>
                <w:szCs w:val="20"/>
                <w:color w:val="auto"/>
              </w:rPr>
            </w:pPr>
            <w:r>
              <w:rPr>
                <w:rFonts w:ascii="Calibri" w:cs="Calibri" w:eastAsia="Calibri" w:hAnsi="Calibri"/>
                <w:sz w:val="11"/>
                <w:szCs w:val="11"/>
                <w:color w:val="auto"/>
                <w:w w:val="70"/>
              </w:rPr>
              <w:t>$</w:t>
            </w:r>
          </w:p>
        </w:tc>
        <w:tc>
          <w:tcPr>
            <w:tcW w:w="580" w:type="dxa"/>
            <w:vAlign w:val="bottom"/>
            <w:gridSpan w:val="2"/>
            <w:shd w:val="clear" w:color="auto" w:fill="CCEEFF"/>
          </w:tcPr>
          <w:p>
            <w:pPr>
              <w:jc w:val="right"/>
              <w:ind w:right="180"/>
              <w:spacing w:after="0"/>
              <w:rPr>
                <w:sz w:val="20"/>
                <w:szCs w:val="20"/>
                <w:color w:val="auto"/>
              </w:rPr>
            </w:pPr>
            <w:r>
              <w:rPr>
                <w:rFonts w:ascii="Calibri" w:cs="Calibri" w:eastAsia="Calibri" w:hAnsi="Calibri"/>
                <w:sz w:val="14"/>
                <w:szCs w:val="14"/>
                <w:color w:val="auto"/>
              </w:rPr>
              <w:t>35.25</w:t>
            </w:r>
          </w:p>
        </w:tc>
        <w:tc>
          <w:tcPr>
            <w:tcW w:w="280" w:type="dxa"/>
            <w:vAlign w:val="bottom"/>
            <w:gridSpan w:val="2"/>
            <w:shd w:val="clear" w:color="auto" w:fill="CCEEFF"/>
          </w:tcPr>
          <w:p>
            <w:pPr>
              <w:ind w:left="160"/>
              <w:spacing w:after="0"/>
              <w:rPr>
                <w:sz w:val="20"/>
                <w:szCs w:val="20"/>
                <w:color w:val="auto"/>
              </w:rPr>
            </w:pPr>
            <w:r>
              <w:rPr>
                <w:rFonts w:ascii="Calibri" w:cs="Calibri" w:eastAsia="Calibri" w:hAnsi="Calibri"/>
                <w:sz w:val="14"/>
                <w:szCs w:val="14"/>
                <w:color w:val="auto"/>
              </w:rPr>
              <w:t>$</w:t>
            </w:r>
          </w:p>
        </w:tc>
        <w:tc>
          <w:tcPr>
            <w:tcW w:w="780" w:type="dxa"/>
            <w:vAlign w:val="bottom"/>
            <w:gridSpan w:val="2"/>
            <w:shd w:val="clear" w:color="auto" w:fill="CCEEFF"/>
          </w:tcPr>
          <w:p>
            <w:pPr>
              <w:jc w:val="right"/>
              <w:ind w:right="160"/>
              <w:spacing w:after="0"/>
              <w:rPr>
                <w:sz w:val="20"/>
                <w:szCs w:val="20"/>
                <w:color w:val="auto"/>
              </w:rPr>
            </w:pPr>
            <w:r>
              <w:rPr>
                <w:rFonts w:ascii="Calibri" w:cs="Calibri" w:eastAsia="Calibri" w:hAnsi="Calibri"/>
                <w:sz w:val="14"/>
                <w:szCs w:val="14"/>
                <w:color w:val="auto"/>
              </w:rPr>
              <w:t>35.249</w:t>
            </w:r>
          </w:p>
        </w:tc>
        <w:tc>
          <w:tcPr>
            <w:tcW w:w="240" w:type="dxa"/>
            <w:vAlign w:val="bottom"/>
            <w:gridSpan w:val="2"/>
            <w:shd w:val="clear" w:color="auto" w:fill="CCEEFF"/>
          </w:tcPr>
          <w:p>
            <w:pPr>
              <w:jc w:val="right"/>
              <w:spacing w:after="0"/>
              <w:rPr>
                <w:sz w:val="20"/>
                <w:szCs w:val="20"/>
                <w:color w:val="auto"/>
              </w:rPr>
            </w:pPr>
            <w:r>
              <w:rPr>
                <w:rFonts w:ascii="Calibri" w:cs="Calibri" w:eastAsia="Calibri" w:hAnsi="Calibri"/>
                <w:sz w:val="14"/>
                <w:szCs w:val="14"/>
                <w:color w:val="auto"/>
              </w:rPr>
              <w:t>$</w:t>
            </w:r>
          </w:p>
        </w:tc>
        <w:tc>
          <w:tcPr>
            <w:tcW w:w="900" w:type="dxa"/>
            <w:vAlign w:val="bottom"/>
            <w:gridSpan w:val="2"/>
            <w:shd w:val="clear" w:color="auto" w:fill="CCEEFF"/>
          </w:tcPr>
          <w:p>
            <w:pPr>
              <w:jc w:val="right"/>
              <w:ind w:right="20"/>
              <w:spacing w:after="0"/>
              <w:rPr>
                <w:sz w:val="20"/>
                <w:szCs w:val="20"/>
                <w:color w:val="auto"/>
              </w:rPr>
            </w:pPr>
            <w:r>
              <w:rPr>
                <w:rFonts w:ascii="Calibri" w:cs="Calibri" w:eastAsia="Calibri" w:hAnsi="Calibri"/>
                <w:sz w:val="14"/>
                <w:szCs w:val="14"/>
                <w:color w:val="auto"/>
                <w:w w:val="97"/>
              </w:rPr>
              <w:t>375,998,278.42</w:t>
            </w:r>
          </w:p>
        </w:tc>
        <w:tc>
          <w:tcPr>
            <w:tcW w:w="380" w:type="dxa"/>
            <w:vAlign w:val="bottom"/>
            <w:gridSpan w:val="2"/>
            <w:shd w:val="clear" w:color="auto" w:fill="CCEEFF"/>
          </w:tcPr>
          <w:p>
            <w:pPr>
              <w:jc w:val="right"/>
              <w:spacing w:after="0"/>
              <w:rPr>
                <w:sz w:val="20"/>
                <w:szCs w:val="20"/>
                <w:color w:val="auto"/>
              </w:rPr>
            </w:pPr>
            <w:r>
              <w:rPr>
                <w:rFonts w:ascii="Calibri" w:cs="Calibri" w:eastAsia="Calibri" w:hAnsi="Calibri"/>
                <w:sz w:val="14"/>
                <w:szCs w:val="14"/>
                <w:color w:val="auto"/>
              </w:rPr>
              <w:t>$</w:t>
            </w:r>
          </w:p>
        </w:tc>
        <w:tc>
          <w:tcPr>
            <w:tcW w:w="900" w:type="dxa"/>
            <w:vAlign w:val="bottom"/>
            <w:gridSpan w:val="2"/>
            <w:shd w:val="clear" w:color="auto" w:fill="CCEEFF"/>
          </w:tcPr>
          <w:p>
            <w:pPr>
              <w:jc w:val="right"/>
              <w:ind w:right="20"/>
              <w:spacing w:after="0"/>
              <w:rPr>
                <w:sz w:val="20"/>
                <w:szCs w:val="20"/>
                <w:color w:val="auto"/>
              </w:rPr>
            </w:pPr>
            <w:r>
              <w:rPr>
                <w:rFonts w:ascii="Calibri" w:cs="Calibri" w:eastAsia="Calibri" w:hAnsi="Calibri"/>
                <w:sz w:val="14"/>
                <w:szCs w:val="14"/>
                <w:color w:val="auto"/>
                <w:w w:val="97"/>
              </w:rPr>
              <w:t>432,398,278.42</w:t>
            </w:r>
          </w:p>
        </w:tc>
      </w:tr>
    </w:tbl>
    <w:p>
      <w:pPr>
        <w:spacing w:after="0" w:line="151" w:lineRule="exact"/>
        <w:rPr>
          <w:sz w:val="20"/>
          <w:szCs w:val="20"/>
          <w:color w:val="auto"/>
        </w:rPr>
      </w:pPr>
    </w:p>
    <w:p>
      <w:pPr>
        <w:ind w:left="220" w:right="299"/>
        <w:spacing w:after="0" w:line="235" w:lineRule="auto"/>
        <w:rPr>
          <w:sz w:val="20"/>
          <w:szCs w:val="20"/>
          <w:color w:val="auto"/>
        </w:rPr>
      </w:pPr>
      <w:r>
        <w:rPr>
          <w:rFonts w:ascii="Calibri" w:cs="Calibri" w:eastAsia="Calibri" w:hAnsi="Calibri"/>
          <w:sz w:val="14"/>
          <w:szCs w:val="14"/>
          <w:color w:val="auto"/>
        </w:rPr>
        <w:t>The underwriters have also agreed to reimburse us for certain of our expenses incurred in connecton with this ofering. We estmate expenses payable by us in connecton with this ofering, other than the underwritng discounts and commissions referred to above, will be approximately $725,000. We have also agreed to reimburse the underwriters for up to $20,000 for their Financial Industry Regulatory Authority, Inc. (“FINRA”) counsel fee. In accordance with FINRA Rule 5110, this reimbursed fee is deemed underwritng compensaton for this ofering.</w:t>
      </w:r>
    </w:p>
    <w:p>
      <w:pPr>
        <w:spacing w:after="0" w:line="251" w:lineRule="exact"/>
        <w:rPr>
          <w:sz w:val="20"/>
          <w:szCs w:val="20"/>
          <w:color w:val="auto"/>
        </w:rPr>
      </w:pPr>
    </w:p>
    <w:p>
      <w:pPr>
        <w:ind w:left="220"/>
        <w:spacing w:after="0"/>
        <w:rPr>
          <w:sz w:val="20"/>
          <w:szCs w:val="20"/>
          <w:color w:val="auto"/>
        </w:rPr>
      </w:pPr>
      <w:r>
        <w:rPr>
          <w:rFonts w:ascii="Calibri" w:cs="Calibri" w:eastAsia="Calibri" w:hAnsi="Calibri"/>
          <w:sz w:val="14"/>
          <w:szCs w:val="14"/>
          <w:b w:val="1"/>
          <w:bCs w:val="1"/>
          <w:color w:val="auto"/>
        </w:rPr>
        <w:t>Listng</w:t>
      </w:r>
    </w:p>
    <w:p>
      <w:pPr>
        <w:spacing w:after="0" w:line="81" w:lineRule="exact"/>
        <w:rPr>
          <w:sz w:val="20"/>
          <w:szCs w:val="20"/>
          <w:color w:val="auto"/>
        </w:rPr>
      </w:pPr>
    </w:p>
    <w:p>
      <w:pPr>
        <w:ind w:left="220"/>
        <w:spacing w:after="0"/>
        <w:rPr>
          <w:sz w:val="20"/>
          <w:szCs w:val="20"/>
          <w:color w:val="auto"/>
        </w:rPr>
      </w:pPr>
      <w:r>
        <w:rPr>
          <w:rFonts w:ascii="Calibri" w:cs="Calibri" w:eastAsia="Calibri" w:hAnsi="Calibri"/>
          <w:sz w:val="14"/>
          <w:szCs w:val="14"/>
          <w:color w:val="auto"/>
        </w:rPr>
        <w:t>Our common stock is listed on The Nasdaq Global Select Market under the trading symbol “ELVN”.</w:t>
      </w:r>
    </w:p>
    <w:p>
      <w:pPr>
        <w:spacing w:after="0" w:line="169" w:lineRule="exact"/>
        <w:rPr>
          <w:sz w:val="20"/>
          <w:szCs w:val="20"/>
          <w:color w:val="auto"/>
        </w:rPr>
      </w:pPr>
    </w:p>
    <w:p>
      <w:pPr>
        <w:ind w:left="220" w:right="739"/>
        <w:spacing w:after="0" w:line="235" w:lineRule="auto"/>
        <w:rPr>
          <w:sz w:val="20"/>
          <w:szCs w:val="20"/>
          <w:color w:val="auto"/>
        </w:rPr>
      </w:pPr>
      <w:r>
        <w:rPr>
          <w:rFonts w:ascii="Calibri" w:cs="Calibri" w:eastAsia="Calibri" w:hAnsi="Calibri"/>
          <w:sz w:val="14"/>
          <w:szCs w:val="14"/>
          <w:color w:val="auto"/>
        </w:rPr>
        <w:t xml:space="preserve">There is no established public trading market for the pre-funded warrants, and we do not expect a market to develop. We do not intend to list the pre-funded warrants on </w:t>
      </w:r>
      <w:r>
        <w:rPr>
          <w:rFonts w:ascii="Calibri" w:cs="Calibri" w:eastAsia="Calibri" w:hAnsi="Calibri"/>
          <w:sz w:val="14"/>
          <w:szCs w:val="14"/>
          <w:i w:val="1"/>
          <w:iCs w:val="1"/>
          <w:color w:val="auto"/>
        </w:rPr>
        <w:t>any natonal securites exchange</w:t>
      </w:r>
      <w:r>
        <w:rPr>
          <w:rFonts w:ascii="Calibri" w:cs="Calibri" w:eastAsia="Calibri" w:hAnsi="Calibri"/>
          <w:sz w:val="14"/>
          <w:szCs w:val="14"/>
          <w:color w:val="auto"/>
        </w:rPr>
        <w:t xml:space="preserve"> or natonally recognized trading system.</w:t>
      </w:r>
    </w:p>
    <w:p>
      <w:pPr>
        <w:spacing w:after="0" w:line="169" w:lineRule="exact"/>
        <w:rPr>
          <w:sz w:val="20"/>
          <w:szCs w:val="20"/>
          <w:color w:val="auto"/>
        </w:rPr>
      </w:pPr>
    </w:p>
    <w:p>
      <w:pPr>
        <w:ind w:left="220" w:right="299"/>
        <w:spacing w:after="0" w:line="235" w:lineRule="auto"/>
        <w:rPr>
          <w:sz w:val="20"/>
          <w:szCs w:val="20"/>
          <w:color w:val="auto"/>
        </w:rPr>
      </w:pPr>
      <w:r>
        <w:rPr>
          <w:rFonts w:ascii="Calibri" w:cs="Calibri" w:eastAsia="Calibri" w:hAnsi="Calibri"/>
          <w:sz w:val="14"/>
          <w:szCs w:val="14"/>
          <w:color w:val="auto"/>
        </w:rPr>
        <w:t>The underwriters have not been engaged to act as warrant agent for the pre-funded warrants or to act as underwriter or agent or otherwise partcipate in the issuance of the shares of our common stock upon the exercise of the pre-funded warrants.</w:t>
      </w:r>
    </w:p>
    <w:p>
      <w:pPr>
        <w:spacing w:after="0" w:line="250" w:lineRule="exact"/>
        <w:rPr>
          <w:sz w:val="20"/>
          <w:szCs w:val="20"/>
          <w:color w:val="auto"/>
        </w:rPr>
      </w:pPr>
    </w:p>
    <w:p>
      <w:pPr>
        <w:ind w:left="220"/>
        <w:spacing w:after="0"/>
        <w:rPr>
          <w:sz w:val="20"/>
          <w:szCs w:val="20"/>
          <w:color w:val="auto"/>
        </w:rPr>
      </w:pPr>
      <w:r>
        <w:rPr>
          <w:rFonts w:ascii="Calibri" w:cs="Calibri" w:eastAsia="Calibri" w:hAnsi="Calibri"/>
          <w:sz w:val="14"/>
          <w:szCs w:val="14"/>
          <w:b w:val="1"/>
          <w:bCs w:val="1"/>
          <w:color w:val="auto"/>
        </w:rPr>
        <w:t>Opton to Purchase Additonal Shares</w:t>
      </w:r>
    </w:p>
    <w:p>
      <w:pPr>
        <w:spacing w:after="0" w:line="85" w:lineRule="exact"/>
        <w:rPr>
          <w:sz w:val="20"/>
          <w:szCs w:val="20"/>
          <w:color w:val="auto"/>
        </w:rPr>
      </w:pPr>
    </w:p>
    <w:p>
      <w:pPr>
        <w:ind w:left="220" w:right="299"/>
        <w:spacing w:after="0" w:line="235" w:lineRule="auto"/>
        <w:rPr>
          <w:sz w:val="20"/>
          <w:szCs w:val="20"/>
          <w:color w:val="auto"/>
        </w:rPr>
      </w:pPr>
      <w:r>
        <w:rPr>
          <w:rFonts w:ascii="Calibri" w:cs="Calibri" w:eastAsia="Calibri" w:hAnsi="Calibri"/>
          <w:sz w:val="14"/>
          <w:szCs w:val="14"/>
          <w:color w:val="auto"/>
        </w:rPr>
        <w:t>We have granted to the underwriters an opton, exercisable for 30 days from the date of this prospectus supplement, to purchase, from tme to tme, in whole or in part, up to an aggregate of 1,600,000 shares of common stock from us at the public ofering price set forth on the cover page of this prospectus supplement, less underwritng discounts and commissions. If the underwriters exercise this opton, each underwriter will be obligated, subject to specifed conditons, to purchase a number of additonal shares of common stock proportonate to that underwriter’s inital purchase commitment as indicated in the table above.</w:t>
      </w:r>
    </w:p>
    <w:p>
      <w:pPr>
        <w:spacing w:after="0" w:line="252" w:lineRule="exact"/>
        <w:rPr>
          <w:sz w:val="20"/>
          <w:szCs w:val="20"/>
          <w:color w:val="auto"/>
        </w:rPr>
      </w:pPr>
    </w:p>
    <w:p>
      <w:pPr>
        <w:ind w:left="220"/>
        <w:spacing w:after="0"/>
        <w:rPr>
          <w:sz w:val="20"/>
          <w:szCs w:val="20"/>
          <w:color w:val="auto"/>
        </w:rPr>
      </w:pPr>
      <w:r>
        <w:rPr>
          <w:rFonts w:ascii="Calibri" w:cs="Calibri" w:eastAsia="Calibri" w:hAnsi="Calibri"/>
          <w:sz w:val="14"/>
          <w:szCs w:val="14"/>
          <w:b w:val="1"/>
          <w:bCs w:val="1"/>
          <w:color w:val="auto"/>
        </w:rPr>
        <w:t>No Sales of Similar Securites</w:t>
      </w:r>
    </w:p>
    <w:p>
      <w:pPr>
        <w:spacing w:after="0" w:line="85" w:lineRule="exact"/>
        <w:rPr>
          <w:sz w:val="20"/>
          <w:szCs w:val="20"/>
          <w:color w:val="auto"/>
        </w:rPr>
      </w:pPr>
    </w:p>
    <w:p>
      <w:pPr>
        <w:ind w:left="220" w:right="319"/>
        <w:spacing w:after="0" w:line="235" w:lineRule="auto"/>
        <w:rPr>
          <w:sz w:val="20"/>
          <w:szCs w:val="20"/>
          <w:color w:val="auto"/>
        </w:rPr>
      </w:pPr>
      <w:r>
        <w:rPr>
          <w:rFonts w:ascii="Calibri" w:cs="Calibri" w:eastAsia="Calibri" w:hAnsi="Calibri"/>
          <w:sz w:val="14"/>
          <w:szCs w:val="14"/>
          <w:color w:val="auto"/>
        </w:rPr>
        <w:t>We have agreed, subject to specifed exceptons, not to directly or indirectly (i) sell, ofer to sell, contract to sell or lend any shares of common stock or related securites; (ii) efect any short sale, or establish or increase any “put equivalent positon” (as defned in Rule 16a-1(h) under the Exchange Act) or liquidate or decrease any “call equivalent positon” (as defned in Rule 16a-1(b) under the Exchange Act) of any shares of common stock or related securites; (iii) pledge, hypothecate or grant any security interest in any shares of common stock or related securites; (iv) in any other way transfer or dispose of any shares of common stock or related securites; (v) enter into any swap, hedge or similar arrangement or agreement that transfers, in whole or in part, the economic risk of ownership of any shares of common stock or related securites, regardless of whether any such transacton is to be setled in securites, in cash or otherwise; (vi) announce the ofering of any shares of common stock or related securites; (vii) submit or fle any registraton statement under the Securites Act in</w:t>
      </w:r>
    </w:p>
    <w:p>
      <w:pPr>
        <w:spacing w:after="0" w:line="117" w:lineRule="exact"/>
        <w:rPr>
          <w:sz w:val="20"/>
          <w:szCs w:val="20"/>
          <w:color w:val="auto"/>
        </w:rPr>
      </w:pPr>
    </w:p>
    <w:p>
      <w:pPr>
        <w:jc w:val="center"/>
        <w:spacing w:after="0"/>
        <w:rPr>
          <w:sz w:val="20"/>
          <w:szCs w:val="20"/>
          <w:color w:val="auto"/>
        </w:rPr>
      </w:pPr>
      <w:r>
        <w:rPr>
          <w:rFonts w:ascii="Calibri" w:cs="Calibri" w:eastAsia="Calibri" w:hAnsi="Calibri"/>
          <w:sz w:val="14"/>
          <w:szCs w:val="14"/>
          <w:color w:val="auto"/>
        </w:rPr>
        <w:t>S-29</w:t>
      </w:r>
    </w:p>
    <w:p>
      <w:pPr>
        <w:sectPr>
          <w:pgSz w:w="11900" w:h="16838" w:orient="portrait"/>
          <w:cols w:equalWidth="0" w:num="1">
            <w:col w:w="9019"/>
          </w:cols>
          <w:pgMar w:left="1440" w:top="238" w:right="1440" w:bottom="1440" w:gutter="0" w:footer="0" w:header="0"/>
        </w:sectPr>
      </w:pPr>
    </w:p>
    <w:bookmarkStart w:id="31" w:name="page32"/>
    <w:bookmarkEnd w:id="31"/>
    <w:p>
      <w:pPr>
        <w:jc w:val="both"/>
        <w:ind w:left="220" w:right="259"/>
        <w:spacing w:after="0" w:line="254" w:lineRule="auto"/>
        <w:rPr>
          <w:sz w:val="20"/>
          <w:szCs w:val="20"/>
          <w:color w:val="auto"/>
        </w:rPr>
      </w:pPr>
      <w:r>
        <w:rPr>
          <w:rFonts w:ascii="Calibri" w:cs="Calibri" w:eastAsia="Calibri" w:hAnsi="Calibri"/>
          <w:sz w:val="13"/>
          <w:szCs w:val="13"/>
          <w:color w:val="auto"/>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01535" cy="33020"/>
                    </a:xfrm>
                    <a:prstGeom prst="rect">
                      <a:avLst/>
                    </a:prstGeom>
                    <a:noFill/>
                  </pic:spPr>
                </pic:pic>
              </a:graphicData>
            </a:graphic>
          </wp:anchor>
        </w:drawing>
        <w:t>respect of any shares of common stock or related securites (other than as contemplated by the Underwritng Agreement); (viii) efect a reverse stock split, recapitalizaton, share consolidaton, reclassifcaton or similar transacton afectng the outstanding shares of common stock; or (ix) publicly announce the intenton to do any of the foregoing. Notwithstanding the foregoing, we may (A) efect the transactons contemplated by the Underwritng Agreement,</w:t>
      </w:r>
    </w:p>
    <w:p>
      <w:pPr>
        <w:ind w:left="220" w:right="319" w:hanging="1"/>
        <w:spacing w:after="0" w:line="235" w:lineRule="auto"/>
        <w:tabs>
          <w:tab w:leader="none" w:pos="408" w:val="left"/>
        </w:tabs>
        <w:numPr>
          <w:ilvl w:val="0"/>
          <w:numId w:val="18"/>
        </w:numPr>
        <w:rPr>
          <w:rFonts w:ascii="Calibri" w:cs="Calibri" w:eastAsia="Calibri" w:hAnsi="Calibri"/>
          <w:sz w:val="14"/>
          <w:szCs w:val="14"/>
          <w:color w:val="auto"/>
        </w:rPr>
      </w:pPr>
      <w:r>
        <w:rPr>
          <w:rFonts w:ascii="Calibri" w:cs="Calibri" w:eastAsia="Calibri" w:hAnsi="Calibri"/>
          <w:sz w:val="14"/>
          <w:szCs w:val="14"/>
          <w:color w:val="auto"/>
        </w:rPr>
        <w:t>issue shares of our common stock or optons to purchase shares of our common stock, or issue shares of our common stock upon exercise of optons, pursuant to any stock opton, stock bonus or other stock plan or arrangement described in this prospectus supplement, (C) sell shares of our common stock pursuant to the Sales Agreement, provided that no sales shall be made untl the earlier of the (x) exercise in full by the underwriters of their opton to purchase additonal shares of our common stock and (y) 30 days from the date of this prospectus supplement, (D) issue shares of our common stock in connecton with bona fde commercial transactons (including joint ventures, commercial relatonships or other strategic transactons), provided that the aggregate number of shares (including related securites, on an as-converted or as-exercised basis, as the case may be) that we may issue pursuant to this clause (D) shall not exceed 5% of the total number of our shares of common stock issued and outstanding as of the date of this prospectus supplement, and (E) the issuance and sale of the securites to be issued under the Underwritng Agreement or exchange of or conversion of any of the securites to be issued under the Underwritng Agreement and/or other securites exercisable or exchangeable for or convertble into shares of our common stock issued and outstanding as of the date of this prospectus supplement.</w:t>
      </w:r>
    </w:p>
    <w:p>
      <w:pPr>
        <w:spacing w:after="0" w:line="175" w:lineRule="exact"/>
        <w:rPr>
          <w:sz w:val="20"/>
          <w:szCs w:val="20"/>
          <w:color w:val="auto"/>
        </w:rPr>
      </w:pPr>
    </w:p>
    <w:p>
      <w:pPr>
        <w:ind w:left="220" w:right="299"/>
        <w:spacing w:after="0" w:line="255" w:lineRule="auto"/>
        <w:rPr>
          <w:sz w:val="20"/>
          <w:szCs w:val="20"/>
          <w:color w:val="auto"/>
        </w:rPr>
      </w:pPr>
      <w:r>
        <w:rPr>
          <w:rFonts w:ascii="Calibri" w:cs="Calibri" w:eastAsia="Calibri" w:hAnsi="Calibri"/>
          <w:sz w:val="13"/>
          <w:szCs w:val="13"/>
          <w:color w:val="auto"/>
        </w:rPr>
        <w:t>Our executve ofcers and directors (such persons, the “lock-up partes”) have agreed, subject to specifed exceptons, not to (i) ofer, sell, contract to sell, pledge, grant any opton to purchase, lend or otherwise dispose of any shares of common stock or related securites, (ii) engage in any hedging or other transacton or arrangement (including, without limitaton, any short sale or the purchase or sale of, or entry into, any put or call opton, or combinaton thereof, forward, swap or any other derivatve transacton or instrument, however described or defned) which is designed to or which reasonably could be expected to lead to or result in a sale, loan, pledge or other dispositon (whether by the lock-up party or someone other than the lock-up party), or transfer of any of the economic consequences of ownership, in whole or in part, directly or indirectly, of any shares of common stock or related securites, whether any such transacton or arrangement (or instrument provided for thereunder) would be setled by delivery of shares of common stock or other securites, in cash or otherwise, or (iii) publicly announce the intenton or cause any acton or actvity described in clauses (i) and (ii) above.</w:t>
      </w:r>
    </w:p>
    <w:p>
      <w:pPr>
        <w:spacing w:after="0" w:line="90" w:lineRule="exact"/>
        <w:rPr>
          <w:sz w:val="20"/>
          <w:szCs w:val="20"/>
          <w:color w:val="auto"/>
        </w:rPr>
      </w:pPr>
    </w:p>
    <w:p>
      <w:pPr>
        <w:ind w:left="980" w:right="239" w:hanging="341"/>
        <w:spacing w:after="0" w:line="255" w:lineRule="auto"/>
        <w:tabs>
          <w:tab w:leader="none" w:pos="980" w:val="left"/>
        </w:tabs>
        <w:numPr>
          <w:ilvl w:val="0"/>
          <w:numId w:val="19"/>
        </w:numPr>
        <w:rPr>
          <w:rFonts w:ascii="Calibri" w:cs="Calibri" w:eastAsia="Calibri" w:hAnsi="Calibri"/>
          <w:sz w:val="13"/>
          <w:szCs w:val="13"/>
          <w:color w:val="auto"/>
        </w:rPr>
      </w:pPr>
      <w:r>
        <w:rPr>
          <w:rFonts w:ascii="Calibri" w:cs="Calibri" w:eastAsia="Calibri" w:hAnsi="Calibri"/>
          <w:sz w:val="13"/>
          <w:szCs w:val="13"/>
          <w:color w:val="auto"/>
        </w:rPr>
        <w:t>The restrictons described in the immediately preceding paragraph and contained in the lock-up agreements do not apply, subject in certain cases to various conditons, to certain transactons, including, (i) as a bona fde gif or gifs, including without limitaton to a charitable organizaton or educatonal insttuton, or for bona fde estate planning purposes, (ii) to any member of the lock-up party’s immediate family or to any trust or other legal entty for the direct or indirect beneft of the lock-up party or the immediate family of the lock-up party, or if the lock-up party is a trust, to a trustor or benefciary of the trust or to the estate of a benefciary of such trust, (iii) by will, other testamentary document or the laws of intestate succession, (iv) if the lock-up party is not one of our ofcers or directors, in connecton with a sale of the lock-up party’s securites acquired in this ofering or in open market transactons, (v) if the lock-up party is a corporaton, partnership, limited liability company, trust or other business entty, (A) to another corporaton, member, partner, partnership, limited liability company, trust or other business entty that is an afliate (as defned in Rule 405 as promulgated by the SEC under the Securites Act) of the lock-up party, or to any investment fund or other entty controlling, controlled by, managing or managed by or under common control with the lock-up party or afliates of the lock-up party (including, for the avoidance of doubt, where the lock-up party is a partnership, to its general partner or a successor partnership or fund, or any other funds managed by such partnership), or (B) as part of a distributon, transfer or dispositon by the lock-up party to its or its afliates’ directors, ofcers, employees, managers, managing members, members, stockholders, partners, benefciaries (or the estates thereof) or other equity holders, (vi) to us in connecton with the vestng, setlement, or exercise of stock optons or other rights to purchase shares of common stock (including, in each case, by way of “net” or “cashless” exercise), including for</w:t>
      </w:r>
    </w:p>
    <w:p>
      <w:pPr>
        <w:spacing w:after="0" w:line="103" w:lineRule="exact"/>
        <w:rPr>
          <w:sz w:val="20"/>
          <w:szCs w:val="20"/>
          <w:color w:val="auto"/>
        </w:rPr>
      </w:pPr>
    </w:p>
    <w:p>
      <w:pPr>
        <w:jc w:val="center"/>
        <w:ind w:right="19"/>
        <w:spacing w:after="0"/>
        <w:rPr>
          <w:sz w:val="20"/>
          <w:szCs w:val="20"/>
          <w:color w:val="auto"/>
        </w:rPr>
      </w:pPr>
      <w:r>
        <w:rPr>
          <w:rFonts w:ascii="Calibri" w:cs="Calibri" w:eastAsia="Calibri" w:hAnsi="Calibri"/>
          <w:sz w:val="14"/>
          <w:szCs w:val="14"/>
          <w:color w:val="auto"/>
        </w:rPr>
        <w:t>S-30</w:t>
      </w:r>
    </w:p>
    <w:p>
      <w:pPr>
        <w:sectPr>
          <w:pgSz w:w="11900" w:h="16838" w:orient="portrait"/>
          <w:cols w:equalWidth="0" w:num="1">
            <w:col w:w="9019"/>
          </w:cols>
          <w:pgMar w:left="1440" w:top="238" w:right="1440" w:bottom="1440" w:gutter="0" w:footer="0" w:header="0"/>
        </w:sectPr>
      </w:pPr>
    </w:p>
    <w:bookmarkStart w:id="32" w:name="page33"/>
    <w:bookmarkEnd w:id="32"/>
    <w:p>
      <w:pPr>
        <w:ind w:left="980" w:right="219"/>
        <w:spacing w:after="0" w:line="235" w:lineRule="auto"/>
        <w:rPr>
          <w:sz w:val="20"/>
          <w:szCs w:val="20"/>
          <w:color w:val="auto"/>
        </w:rPr>
      </w:pPr>
      <w:r>
        <w:rPr>
          <w:rFonts w:ascii="Calibri" w:cs="Calibri" w:eastAsia="Calibri" w:hAnsi="Calibri"/>
          <w:sz w:val="14"/>
          <w:szCs w:val="14"/>
          <w:color w:val="auto"/>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the payment of the exercise price and tax and remitance payments due as a result of the vestng, setlement, or exercise of such stock optons or other rights, provided that any such shares of common stock received upon such exercise, vestng or setlement shall be subject to the terms of the lock-up agreement, and provided further that any such stock optons or other rights are held by the lock-up party pursuant to an agreement or equity awards granted under a stock incentve plan or other equity award plan, each such agreement or plan which is described in this prospectus supplement, (vii) to us in connecton with any contractual arrangement described in this prospectus supplement and in efect on the date of this prospectus supplement that provides for the repurchase of the lock-up party’s securites by us in connecton with the terminaton of the lock-up party’s service to us or the death or disability of the lock-up party, (viii) to a nominee or custodian of a person or entty to whom a Transfer (as defned in the lock-up agreement) would be permissible under (i), (ii), (iii) or (v) above, (ix) pursuant to a bona fde third-party tender ofer, merger, consolidaton or other similar transacton that is approved by our board of directors and made to all holders of our capital stock on substantally the same terms for holders of a majority of the votng power of our outstanding shares of capital stock involving a Change of Control (as defned in the lock-up agreement), provided that in the event that such tender ofer, merger, consolidaton or other similar transacton is not completed, the lock-up party’s securites shall remain subject to the provisions of the lock-up agreement, (x) in connecton with sales made pursuant to a 10b5-1 trading plan that complies with Rule 10b5-1 under the Exchange Act and was in efect prior to the date of the lock-up agreement, (xi) by operaton of law, including pursuant to orders of a court, a qualifed domestc order or in connecton with a divorce setlement, or (xii) with the prior writen consent of Jeferies LLC and Goldman Sachs &amp; Co. LLC on behalf of the underwriters.</w:t>
      </w:r>
    </w:p>
    <w:p>
      <w:pPr>
        <w:spacing w:after="0" w:line="179" w:lineRule="exact"/>
        <w:rPr>
          <w:sz w:val="20"/>
          <w:szCs w:val="20"/>
          <w:color w:val="auto"/>
        </w:rPr>
      </w:pPr>
    </w:p>
    <w:p>
      <w:pPr>
        <w:ind w:left="220" w:right="919"/>
        <w:spacing w:after="0" w:line="235" w:lineRule="auto"/>
        <w:rPr>
          <w:sz w:val="20"/>
          <w:szCs w:val="20"/>
          <w:color w:val="auto"/>
        </w:rPr>
      </w:pPr>
      <w:r>
        <w:rPr>
          <w:rFonts w:ascii="Calibri" w:cs="Calibri" w:eastAsia="Calibri" w:hAnsi="Calibri"/>
          <w:sz w:val="14"/>
          <w:szCs w:val="14"/>
          <w:color w:val="auto"/>
        </w:rPr>
        <w:t>The restrictons above terminate afer the close of trading of the common stock on and including the 60th day afer the date of this prospectus supplement.</w:t>
      </w:r>
    </w:p>
    <w:p>
      <w:pPr>
        <w:spacing w:after="0" w:line="169" w:lineRule="exact"/>
        <w:rPr>
          <w:sz w:val="20"/>
          <w:szCs w:val="20"/>
          <w:color w:val="auto"/>
        </w:rPr>
      </w:pPr>
    </w:p>
    <w:p>
      <w:pPr>
        <w:ind w:left="220" w:right="299"/>
        <w:spacing w:after="0" w:line="260" w:lineRule="auto"/>
        <w:rPr>
          <w:sz w:val="20"/>
          <w:szCs w:val="20"/>
          <w:color w:val="auto"/>
        </w:rPr>
      </w:pPr>
      <w:r>
        <w:rPr>
          <w:rFonts w:ascii="Calibri" w:cs="Calibri" w:eastAsia="Calibri" w:hAnsi="Calibri"/>
          <w:sz w:val="13"/>
          <w:szCs w:val="13"/>
          <w:color w:val="auto"/>
        </w:rPr>
        <w:t>Jeferies LLC and Goldman Sachs &amp; Co. LLC may, in their sole discreton and at any tme or from tme to tme before the terminaton of the 60-day period release all or any porton of the securites subject to lock-up agreements. There are no existng agreements between the underwriters and any of our shareholders who will execute a lock-up agreement, providing consent to the sale of shares of common stock prior to the expiraton of the lock-up period.</w:t>
      </w:r>
    </w:p>
    <w:p>
      <w:pPr>
        <w:spacing w:after="0" w:line="237" w:lineRule="exact"/>
        <w:rPr>
          <w:sz w:val="20"/>
          <w:szCs w:val="20"/>
          <w:color w:val="auto"/>
        </w:rPr>
      </w:pPr>
    </w:p>
    <w:p>
      <w:pPr>
        <w:ind w:left="220"/>
        <w:spacing w:after="0"/>
        <w:rPr>
          <w:sz w:val="20"/>
          <w:szCs w:val="20"/>
          <w:color w:val="auto"/>
        </w:rPr>
      </w:pPr>
      <w:r>
        <w:rPr>
          <w:rFonts w:ascii="Calibri" w:cs="Calibri" w:eastAsia="Calibri" w:hAnsi="Calibri"/>
          <w:sz w:val="14"/>
          <w:szCs w:val="14"/>
          <w:b w:val="1"/>
          <w:bCs w:val="1"/>
          <w:color w:val="auto"/>
        </w:rPr>
        <w:t>Stabilizaton</w:t>
      </w:r>
    </w:p>
    <w:p>
      <w:pPr>
        <w:spacing w:after="0" w:line="85" w:lineRule="exact"/>
        <w:rPr>
          <w:sz w:val="20"/>
          <w:szCs w:val="20"/>
          <w:color w:val="auto"/>
        </w:rPr>
      </w:pPr>
    </w:p>
    <w:p>
      <w:pPr>
        <w:ind w:left="220" w:right="319"/>
        <w:spacing w:after="0" w:line="235" w:lineRule="auto"/>
        <w:rPr>
          <w:sz w:val="20"/>
          <w:szCs w:val="20"/>
          <w:color w:val="auto"/>
        </w:rPr>
      </w:pPr>
      <w:r>
        <w:rPr>
          <w:rFonts w:ascii="Calibri" w:cs="Calibri" w:eastAsia="Calibri" w:hAnsi="Calibri"/>
          <w:sz w:val="14"/>
          <w:szCs w:val="14"/>
          <w:color w:val="auto"/>
        </w:rPr>
        <w:t>The underwriters have advised us that they may engage in short sale transactons, stabilizing transactons, syndicate covering transactons or the impositon of penalty bids in connecton with this ofering. These actvites may have the efect of stabilizing or maintaining the market price of the shares of common stock at a level above that which might otherwise prevail in the open market. Establishing short sales positons may involve either “covered” short sales or “naked” short sales.</w:t>
      </w:r>
    </w:p>
    <w:p>
      <w:pPr>
        <w:spacing w:after="0" w:line="171" w:lineRule="exact"/>
        <w:rPr>
          <w:sz w:val="20"/>
          <w:szCs w:val="20"/>
          <w:color w:val="auto"/>
        </w:rPr>
      </w:pPr>
    </w:p>
    <w:p>
      <w:pPr>
        <w:ind w:left="220" w:right="239"/>
        <w:spacing w:after="0" w:line="235" w:lineRule="auto"/>
        <w:rPr>
          <w:sz w:val="20"/>
          <w:szCs w:val="20"/>
          <w:color w:val="auto"/>
        </w:rPr>
      </w:pPr>
      <w:r>
        <w:rPr>
          <w:rFonts w:ascii="Calibri" w:cs="Calibri" w:eastAsia="Calibri" w:hAnsi="Calibri"/>
          <w:sz w:val="14"/>
          <w:szCs w:val="14"/>
          <w:color w:val="auto"/>
        </w:rPr>
        <w:t>“Covered” short sales are sales made in an amount not greater than the underwriters’ opton to purchase additonal shares of our common stock in this ofering. The underwriters may close out any covered short positon by either exercising their opton to purchase additonal shares of our common stock or purchasing shares of our common stock in the open market. In determining the source of shares of common stock to close out the covered short positon, the underwriters will consider, among other things, the price of shares of common stock available for purchase in the open market as compared to the price at which they may purchase shares of common stock through the opton to purchase additonal shares of common stock.</w:t>
      </w:r>
    </w:p>
    <w:p>
      <w:pPr>
        <w:spacing w:after="0" w:line="172" w:lineRule="exact"/>
        <w:rPr>
          <w:sz w:val="20"/>
          <w:szCs w:val="20"/>
          <w:color w:val="auto"/>
        </w:rPr>
      </w:pPr>
    </w:p>
    <w:p>
      <w:pPr>
        <w:ind w:left="220" w:right="279"/>
        <w:spacing w:after="0" w:line="235" w:lineRule="auto"/>
        <w:rPr>
          <w:sz w:val="20"/>
          <w:szCs w:val="20"/>
          <w:color w:val="auto"/>
        </w:rPr>
      </w:pPr>
      <w:r>
        <w:rPr>
          <w:rFonts w:ascii="Calibri" w:cs="Calibri" w:eastAsia="Calibri" w:hAnsi="Calibri"/>
          <w:sz w:val="14"/>
          <w:szCs w:val="14"/>
          <w:color w:val="auto"/>
        </w:rPr>
        <w:t>“Naked” short sales are sales in excess of the opton to purchase additonal shares of our common stock. The underwriters must close out any naked short positon by purchasing shares of common stock in the open market. A naked short positon is more likely to be created if the underwriters are concerned that there may be downward pressure on the price of the shares of our common stock in the open market afer pricing that could adversely afect investors who purchase in this ofering.</w:t>
      </w:r>
    </w:p>
    <w:p>
      <w:pPr>
        <w:spacing w:after="0" w:line="114" w:lineRule="exact"/>
        <w:rPr>
          <w:sz w:val="20"/>
          <w:szCs w:val="20"/>
          <w:color w:val="auto"/>
        </w:rPr>
      </w:pPr>
    </w:p>
    <w:p>
      <w:pPr>
        <w:jc w:val="center"/>
        <w:spacing w:after="0"/>
        <w:rPr>
          <w:sz w:val="20"/>
          <w:szCs w:val="20"/>
          <w:color w:val="auto"/>
        </w:rPr>
      </w:pPr>
      <w:r>
        <w:rPr>
          <w:rFonts w:ascii="Calibri" w:cs="Calibri" w:eastAsia="Calibri" w:hAnsi="Calibri"/>
          <w:sz w:val="14"/>
          <w:szCs w:val="14"/>
          <w:color w:val="auto"/>
        </w:rPr>
        <w:t>S-31</w:t>
      </w:r>
    </w:p>
    <w:p>
      <w:pPr>
        <w:sectPr>
          <w:pgSz w:w="11900" w:h="16838" w:orient="portrait"/>
          <w:cols w:equalWidth="0" w:num="1">
            <w:col w:w="9019"/>
          </w:cols>
          <w:pgMar w:left="1440" w:top="238" w:right="1440" w:bottom="1440" w:gutter="0" w:footer="0" w:header="0"/>
        </w:sectPr>
      </w:pPr>
    </w:p>
    <w:bookmarkStart w:id="33" w:name="page34"/>
    <w:bookmarkEnd w:id="33"/>
    <w:p>
      <w:pPr>
        <w:ind w:left="220" w:right="239"/>
        <w:spacing w:after="0" w:line="235" w:lineRule="auto"/>
        <w:rPr>
          <w:sz w:val="20"/>
          <w:szCs w:val="20"/>
          <w:color w:val="auto"/>
        </w:rPr>
      </w:pPr>
      <w:r>
        <w:rPr>
          <w:rFonts w:ascii="Calibri" w:cs="Calibri" w:eastAsia="Calibri" w:hAnsi="Calibri"/>
          <w:sz w:val="14"/>
          <w:szCs w:val="14"/>
          <w:color w:val="auto"/>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01535" cy="33020"/>
                    </a:xfrm>
                    <a:prstGeom prst="rect">
                      <a:avLst/>
                    </a:prstGeom>
                    <a:noFill/>
                  </pic:spPr>
                </pic:pic>
              </a:graphicData>
            </a:graphic>
          </wp:anchor>
        </w:drawing>
        <w:t>A stabilizing bid is a bid for the purchase of shares of common stock on behalf of the underwriters for the purpose of fxing or maintaining the price of the shares of common stock. A syndicate covering transacton is the bid for or the purchase of shares of common stock on behalf of the underwriters to reduce a short positon incurred by the underwriters in connecton with the ofering. Similar to other purchase transactons, the underwriters’ purchases to cover the syndicate short sales may have the efect of raising or maintaining the market price of our common stock or preventng or retarding a decline in the market price of our common stock. As a result, the price of our common stock may be higher than the price that might otherwise exist in the open market. A penalty bid is an arrangement permitng the underwriters to reclaim the selling concession otherwise accruing to a syndicate member in connecton with the ofering if the common stock originally sold by such syndicate member are purchased in a syndicate covering transacton and therefore have not been efectvely placed by such syndicate member.</w:t>
      </w:r>
    </w:p>
    <w:p>
      <w:pPr>
        <w:spacing w:after="0" w:line="174" w:lineRule="exact"/>
        <w:rPr>
          <w:sz w:val="20"/>
          <w:szCs w:val="20"/>
          <w:color w:val="auto"/>
        </w:rPr>
      </w:pPr>
    </w:p>
    <w:p>
      <w:pPr>
        <w:ind w:left="220" w:right="359"/>
        <w:spacing w:after="0" w:line="235" w:lineRule="auto"/>
        <w:rPr>
          <w:sz w:val="20"/>
          <w:szCs w:val="20"/>
          <w:color w:val="auto"/>
        </w:rPr>
      </w:pPr>
      <w:r>
        <w:rPr>
          <w:rFonts w:ascii="Calibri" w:cs="Calibri" w:eastAsia="Calibri" w:hAnsi="Calibri"/>
          <w:sz w:val="14"/>
          <w:szCs w:val="14"/>
          <w:color w:val="auto"/>
        </w:rPr>
        <w:t>Neither we nor any of the underwriters make any representaton or predicton as to the directon or magnitude of any efect that the transactons described above may have on the price of our common stock. The underwriters are not obligated to engage in these actvites and, if commenced, any of the actvites may be discontnued at any tme.</w:t>
      </w:r>
    </w:p>
    <w:p>
      <w:pPr>
        <w:spacing w:after="0" w:line="170" w:lineRule="exact"/>
        <w:rPr>
          <w:sz w:val="20"/>
          <w:szCs w:val="20"/>
          <w:color w:val="auto"/>
        </w:rPr>
      </w:pPr>
    </w:p>
    <w:p>
      <w:pPr>
        <w:ind w:left="220" w:right="279"/>
        <w:spacing w:after="0" w:line="235" w:lineRule="auto"/>
        <w:rPr>
          <w:sz w:val="20"/>
          <w:szCs w:val="20"/>
          <w:color w:val="auto"/>
        </w:rPr>
      </w:pPr>
      <w:r>
        <w:rPr>
          <w:rFonts w:ascii="Calibri" w:cs="Calibri" w:eastAsia="Calibri" w:hAnsi="Calibri"/>
          <w:sz w:val="14"/>
          <w:szCs w:val="14"/>
          <w:color w:val="auto"/>
        </w:rPr>
        <w:t>The underwriters may also engage in passive market making transactons in our shares of common stock on The Nasdaq Global Select Market in accordance with Rule 103 of Regulaton M during a period before the commencement of ofers or sales of shares of our common stock in this ofering and extending through the completon of distributon. A passive market maker must display its bid at a price not in excess of the highest independent bid of that security. However, if all independent bids are lowered below the passive market maker’s bid, that bid must then be lowered when specifed purchase limits are exceeded.</w:t>
      </w:r>
    </w:p>
    <w:p>
      <w:pPr>
        <w:spacing w:after="0" w:line="252" w:lineRule="exact"/>
        <w:rPr>
          <w:sz w:val="20"/>
          <w:szCs w:val="20"/>
          <w:color w:val="auto"/>
        </w:rPr>
      </w:pPr>
    </w:p>
    <w:p>
      <w:pPr>
        <w:ind w:left="220"/>
        <w:spacing w:after="0"/>
        <w:rPr>
          <w:sz w:val="20"/>
          <w:szCs w:val="20"/>
          <w:color w:val="auto"/>
        </w:rPr>
      </w:pPr>
      <w:r>
        <w:rPr>
          <w:rFonts w:ascii="Calibri" w:cs="Calibri" w:eastAsia="Calibri" w:hAnsi="Calibri"/>
          <w:sz w:val="14"/>
          <w:szCs w:val="14"/>
          <w:b w:val="1"/>
          <w:bCs w:val="1"/>
          <w:color w:val="auto"/>
        </w:rPr>
        <w:t>Electronic Distributon</w:t>
      </w:r>
    </w:p>
    <w:p>
      <w:pPr>
        <w:spacing w:after="0" w:line="85" w:lineRule="exact"/>
        <w:rPr>
          <w:sz w:val="20"/>
          <w:szCs w:val="20"/>
          <w:color w:val="auto"/>
        </w:rPr>
      </w:pPr>
    </w:p>
    <w:p>
      <w:pPr>
        <w:ind w:left="220" w:right="239"/>
        <w:spacing w:after="0" w:line="256" w:lineRule="auto"/>
        <w:rPr>
          <w:sz w:val="20"/>
          <w:szCs w:val="20"/>
          <w:color w:val="auto"/>
        </w:rPr>
      </w:pPr>
      <w:r>
        <w:rPr>
          <w:rFonts w:ascii="Calibri" w:cs="Calibri" w:eastAsia="Calibri" w:hAnsi="Calibri"/>
          <w:sz w:val="13"/>
          <w:szCs w:val="13"/>
          <w:color w:val="auto"/>
        </w:rPr>
        <w:t>A prospectus in electronic format may be made available by e-mail or through online services maintained by one or more of the underwriters or their afliates. In those cases, prospectve investors may view ofering terms online and may be allowed to place orders online. The underwriters may agree with us to allocate a specifc number of shares of common stock and pre-funded warrants for sale to online brokerage account holders. Any such allocaton for online distributons will be made by the underwriters on the same basis as other allocatons. Other than the prospectus in electronic format, the informaton on the underwriters’ web sites and any informaton contained in any other web site maintained by any of the underwriters is not part of this prospectus supplement, has not been approved and/or endorsed by us or the underwriters and should not be relied upon by investors.</w:t>
      </w:r>
    </w:p>
    <w:p>
      <w:pPr>
        <w:spacing w:after="0" w:line="241" w:lineRule="exact"/>
        <w:rPr>
          <w:sz w:val="20"/>
          <w:szCs w:val="20"/>
          <w:color w:val="auto"/>
        </w:rPr>
      </w:pPr>
    </w:p>
    <w:p>
      <w:pPr>
        <w:ind w:left="220"/>
        <w:spacing w:after="0"/>
        <w:rPr>
          <w:sz w:val="20"/>
          <w:szCs w:val="20"/>
          <w:color w:val="auto"/>
        </w:rPr>
      </w:pPr>
      <w:r>
        <w:rPr>
          <w:rFonts w:ascii="Calibri" w:cs="Calibri" w:eastAsia="Calibri" w:hAnsi="Calibri"/>
          <w:sz w:val="14"/>
          <w:szCs w:val="14"/>
          <w:b w:val="1"/>
          <w:bCs w:val="1"/>
          <w:color w:val="auto"/>
        </w:rPr>
        <w:t>Other Actvites and Relatonships</w:t>
      </w:r>
    </w:p>
    <w:p>
      <w:pPr>
        <w:spacing w:after="0" w:line="85" w:lineRule="exact"/>
        <w:rPr>
          <w:sz w:val="20"/>
          <w:szCs w:val="20"/>
          <w:color w:val="auto"/>
        </w:rPr>
      </w:pPr>
    </w:p>
    <w:p>
      <w:pPr>
        <w:ind w:left="220" w:right="499"/>
        <w:spacing w:after="0" w:line="235" w:lineRule="auto"/>
        <w:rPr>
          <w:sz w:val="20"/>
          <w:szCs w:val="20"/>
          <w:color w:val="auto"/>
        </w:rPr>
      </w:pPr>
      <w:r>
        <w:rPr>
          <w:rFonts w:ascii="Calibri" w:cs="Calibri" w:eastAsia="Calibri" w:hAnsi="Calibri"/>
          <w:sz w:val="14"/>
          <w:szCs w:val="14"/>
          <w:color w:val="auto"/>
        </w:rPr>
        <w:t>The underwriters and certain of their afliates are full service fnancial insttutons engaged in various actvites, which may include securites trading, commercial and investment banking, fnancial advisory, investment management, investment research, principal investment, hedging, fnancing and brokerage actvites. The underwriters and certain of their afliates have, from tme to tme, performed, and may in the future perform, various commercial and investment banking and fnancial advisory services for us and our afliates, for which they received or will receive customary fees and expenses. For example, Jeferies LLC is the sales agent under the Sales Agreement.</w:t>
      </w:r>
    </w:p>
    <w:p>
      <w:pPr>
        <w:spacing w:after="0" w:line="172" w:lineRule="exact"/>
        <w:rPr>
          <w:sz w:val="20"/>
          <w:szCs w:val="20"/>
          <w:color w:val="auto"/>
        </w:rPr>
      </w:pPr>
    </w:p>
    <w:p>
      <w:pPr>
        <w:ind w:left="220" w:right="279"/>
        <w:spacing w:after="0" w:line="235" w:lineRule="auto"/>
        <w:rPr>
          <w:sz w:val="20"/>
          <w:szCs w:val="20"/>
          <w:color w:val="auto"/>
        </w:rPr>
      </w:pPr>
      <w:r>
        <w:rPr>
          <w:rFonts w:ascii="Calibri" w:cs="Calibri" w:eastAsia="Calibri" w:hAnsi="Calibri"/>
          <w:sz w:val="14"/>
          <w:szCs w:val="14"/>
          <w:color w:val="auto"/>
        </w:rPr>
        <w:t>In the ordinary course of their various business actvites, the underwriters and certain of their afliates may make or hold a broad array of investments and actvely trade debt and equity securites (or related derivatve securites) and fnancial instruments (including bank loans) for their own account and for the accounts of their customers, and such investment and securites actvites may involve securites and/or instruments issued by us and our afliates. If the underwriters or their respectve afliates have a lending relatonship with us, they routnely hedge their credit exposure to us consistent with their customary risk management policies. The</w:t>
      </w:r>
    </w:p>
    <w:p>
      <w:pPr>
        <w:spacing w:after="0" w:line="115" w:lineRule="exact"/>
        <w:rPr>
          <w:sz w:val="20"/>
          <w:szCs w:val="20"/>
          <w:color w:val="auto"/>
        </w:rPr>
      </w:pPr>
    </w:p>
    <w:p>
      <w:pPr>
        <w:jc w:val="center"/>
        <w:ind w:right="19"/>
        <w:spacing w:after="0"/>
        <w:rPr>
          <w:sz w:val="20"/>
          <w:szCs w:val="20"/>
          <w:color w:val="auto"/>
        </w:rPr>
      </w:pPr>
      <w:r>
        <w:rPr>
          <w:rFonts w:ascii="Calibri" w:cs="Calibri" w:eastAsia="Calibri" w:hAnsi="Calibri"/>
          <w:sz w:val="14"/>
          <w:szCs w:val="14"/>
          <w:color w:val="auto"/>
        </w:rPr>
        <w:t>S-32</w:t>
      </w:r>
    </w:p>
    <w:p>
      <w:pPr>
        <w:sectPr>
          <w:pgSz w:w="11900" w:h="16838" w:orient="portrait"/>
          <w:cols w:equalWidth="0" w:num="1">
            <w:col w:w="9019"/>
          </w:cols>
          <w:pgMar w:left="1440" w:top="238" w:right="1440" w:bottom="1440" w:gutter="0" w:footer="0" w:header="0"/>
        </w:sectPr>
      </w:pPr>
    </w:p>
    <w:bookmarkStart w:id="34" w:name="page35"/>
    <w:bookmarkEnd w:id="34"/>
    <w:p>
      <w:pPr>
        <w:ind w:left="220" w:right="259"/>
        <w:spacing w:after="0" w:line="235" w:lineRule="auto"/>
        <w:rPr>
          <w:sz w:val="20"/>
          <w:szCs w:val="20"/>
          <w:color w:val="auto"/>
        </w:rPr>
      </w:pPr>
      <w:r>
        <w:rPr>
          <w:rFonts w:ascii="Calibri" w:cs="Calibri" w:eastAsia="Calibri" w:hAnsi="Calibri"/>
          <w:sz w:val="14"/>
          <w:szCs w:val="14"/>
          <w:color w:val="auto"/>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01535" cy="32385"/>
                    </a:xfrm>
                    <a:prstGeom prst="rect">
                      <a:avLst/>
                    </a:prstGeom>
                    <a:noFill/>
                  </pic:spPr>
                </pic:pic>
              </a:graphicData>
            </a:graphic>
          </wp:anchor>
        </w:drawing>
        <w:t>underwriters and their respectve afliates may hedge such exposure by entering into transactons which consist of either the purchase of credit default swaps or the creaton of short positons in our securites or the securites of our afliates, including potentally the shares of common stock ofered hereby. Any such short positons could adversely afect future trading prices of the shares of common stock ofered hereby. The underwriters and certain of their respectve afliates may also communicate independent investment recommendatons, market color or trading ideas and/or publish or express independent research views in respect of such securites or instruments and may at any tme hold, or recommend to clients that they acquire, long and/or short positons in such securites and instruments.</w:t>
      </w:r>
    </w:p>
    <w:p>
      <w:pPr>
        <w:spacing w:after="0" w:line="252" w:lineRule="exact"/>
        <w:rPr>
          <w:sz w:val="20"/>
          <w:szCs w:val="20"/>
          <w:color w:val="auto"/>
        </w:rPr>
      </w:pPr>
    </w:p>
    <w:p>
      <w:pPr>
        <w:ind w:left="220"/>
        <w:spacing w:after="0"/>
        <w:rPr>
          <w:sz w:val="20"/>
          <w:szCs w:val="20"/>
          <w:color w:val="auto"/>
        </w:rPr>
      </w:pPr>
      <w:r>
        <w:rPr>
          <w:rFonts w:ascii="Calibri" w:cs="Calibri" w:eastAsia="Calibri" w:hAnsi="Calibri"/>
          <w:sz w:val="14"/>
          <w:szCs w:val="14"/>
          <w:b w:val="1"/>
          <w:bCs w:val="1"/>
          <w:color w:val="auto"/>
        </w:rPr>
        <w:t>Disclaimers About Non-U.S. Jurisdictons</w:t>
      </w:r>
    </w:p>
    <w:p>
      <w:pPr>
        <w:spacing w:after="0" w:line="81" w:lineRule="exact"/>
        <w:rPr>
          <w:sz w:val="20"/>
          <w:szCs w:val="20"/>
          <w:color w:val="auto"/>
        </w:rPr>
      </w:pPr>
    </w:p>
    <w:p>
      <w:pPr>
        <w:ind w:left="220"/>
        <w:spacing w:after="0"/>
        <w:rPr>
          <w:sz w:val="20"/>
          <w:szCs w:val="20"/>
          <w:color w:val="auto"/>
        </w:rPr>
      </w:pPr>
      <w:r>
        <w:rPr>
          <w:rFonts w:ascii="Calibri" w:cs="Calibri" w:eastAsia="Calibri" w:hAnsi="Calibri"/>
          <w:sz w:val="14"/>
          <w:szCs w:val="14"/>
          <w:b w:val="1"/>
          <w:bCs w:val="1"/>
          <w:i w:val="1"/>
          <w:iCs w:val="1"/>
          <w:color w:val="auto"/>
        </w:rPr>
        <w:t>Australia</w:t>
      </w:r>
    </w:p>
    <w:p>
      <w:pPr>
        <w:spacing w:after="0" w:line="85" w:lineRule="exact"/>
        <w:rPr>
          <w:sz w:val="20"/>
          <w:szCs w:val="20"/>
          <w:color w:val="auto"/>
        </w:rPr>
      </w:pPr>
    </w:p>
    <w:p>
      <w:pPr>
        <w:ind w:left="220" w:right="299"/>
        <w:spacing w:after="0" w:line="235" w:lineRule="auto"/>
        <w:rPr>
          <w:sz w:val="20"/>
          <w:szCs w:val="20"/>
          <w:color w:val="auto"/>
        </w:rPr>
      </w:pPr>
      <w:r>
        <w:rPr>
          <w:rFonts w:ascii="Calibri" w:cs="Calibri" w:eastAsia="Calibri" w:hAnsi="Calibri"/>
          <w:sz w:val="14"/>
          <w:szCs w:val="14"/>
          <w:color w:val="auto"/>
        </w:rPr>
        <w:t>This prospectus supplement is not a disclosure document for the purposes of Australia’s Corporatons Act 2001 (Cth) of Australia, or Corporatons Act, has not been lodged with the Australian Securites &amp; Investments Commission and is only directed to the categories of exempt persons set out below. Accordingly, if you receive this prospectus supplement in Australia:</w:t>
      </w:r>
    </w:p>
    <w:p>
      <w:pPr>
        <w:spacing w:after="0" w:line="93" w:lineRule="exact"/>
        <w:rPr>
          <w:sz w:val="20"/>
          <w:szCs w:val="20"/>
          <w:color w:val="auto"/>
        </w:rPr>
      </w:pPr>
    </w:p>
    <w:p>
      <w:pPr>
        <w:ind w:left="560" w:hanging="341"/>
        <w:spacing w:after="0"/>
        <w:tabs>
          <w:tab w:leader="none" w:pos="560" w:val="left"/>
        </w:tabs>
        <w:numPr>
          <w:ilvl w:val="0"/>
          <w:numId w:val="20"/>
        </w:numPr>
        <w:rPr>
          <w:rFonts w:ascii="Calibri" w:cs="Calibri" w:eastAsia="Calibri" w:hAnsi="Calibri"/>
          <w:sz w:val="14"/>
          <w:szCs w:val="14"/>
          <w:color w:val="auto"/>
        </w:rPr>
      </w:pPr>
      <w:r>
        <w:rPr>
          <w:rFonts w:ascii="Calibri" w:cs="Calibri" w:eastAsia="Calibri" w:hAnsi="Calibri"/>
          <w:sz w:val="14"/>
          <w:szCs w:val="14"/>
          <w:color w:val="auto"/>
        </w:rPr>
        <w:t>You confrm and warrant that you are either:</w:t>
      </w:r>
    </w:p>
    <w:p>
      <w:pPr>
        <w:spacing w:after="0" w:line="91" w:lineRule="exact"/>
        <w:rPr>
          <w:rFonts w:ascii="Calibri" w:cs="Calibri" w:eastAsia="Calibri" w:hAnsi="Calibri"/>
          <w:sz w:val="14"/>
          <w:szCs w:val="14"/>
          <w:color w:val="auto"/>
        </w:rPr>
      </w:pPr>
    </w:p>
    <w:p>
      <w:pPr>
        <w:ind w:left="980" w:hanging="341"/>
        <w:spacing w:after="0"/>
        <w:tabs>
          <w:tab w:leader="none" w:pos="980" w:val="left"/>
        </w:tabs>
        <w:numPr>
          <w:ilvl w:val="1"/>
          <w:numId w:val="20"/>
        </w:numPr>
        <w:rPr>
          <w:rFonts w:ascii="Calibri" w:cs="Calibri" w:eastAsia="Calibri" w:hAnsi="Calibri"/>
          <w:sz w:val="14"/>
          <w:szCs w:val="14"/>
          <w:color w:val="auto"/>
        </w:rPr>
      </w:pPr>
      <w:r>
        <w:rPr>
          <w:rFonts w:ascii="Calibri" w:cs="Calibri" w:eastAsia="Calibri" w:hAnsi="Calibri"/>
          <w:sz w:val="14"/>
          <w:szCs w:val="14"/>
          <w:color w:val="auto"/>
        </w:rPr>
        <w:t>a “sophistcated investor” under secton 708(8)(a) or (b) of the Corporatons Act;</w:t>
      </w:r>
    </w:p>
    <w:p>
      <w:pPr>
        <w:spacing w:after="0" w:line="95" w:lineRule="exact"/>
        <w:rPr>
          <w:rFonts w:ascii="Calibri" w:cs="Calibri" w:eastAsia="Calibri" w:hAnsi="Calibri"/>
          <w:sz w:val="14"/>
          <w:szCs w:val="14"/>
          <w:color w:val="auto"/>
        </w:rPr>
      </w:pPr>
    </w:p>
    <w:p>
      <w:pPr>
        <w:jc w:val="both"/>
        <w:ind w:left="980" w:right="239" w:hanging="341"/>
        <w:spacing w:after="0" w:line="235" w:lineRule="auto"/>
        <w:tabs>
          <w:tab w:leader="none" w:pos="980" w:val="left"/>
        </w:tabs>
        <w:numPr>
          <w:ilvl w:val="1"/>
          <w:numId w:val="20"/>
        </w:numPr>
        <w:rPr>
          <w:rFonts w:ascii="Calibri" w:cs="Calibri" w:eastAsia="Calibri" w:hAnsi="Calibri"/>
          <w:sz w:val="14"/>
          <w:szCs w:val="14"/>
          <w:color w:val="auto"/>
        </w:rPr>
      </w:pPr>
      <w:r>
        <w:rPr>
          <w:rFonts w:ascii="Calibri" w:cs="Calibri" w:eastAsia="Calibri" w:hAnsi="Calibri"/>
          <w:sz w:val="14"/>
          <w:szCs w:val="14"/>
          <w:color w:val="auto"/>
        </w:rPr>
        <w:t>a “sophistcated investor” under secton 708(8)(c) or (d) of the Corporatons Act and that you have provided an accountant’s certfcate to the Company which complies with the requirements of secton 708(8)(c)(i) or (ii) of the Corporatons Act and related regulatons before the ofer has been made;</w:t>
      </w:r>
    </w:p>
    <w:p>
      <w:pPr>
        <w:spacing w:after="0" w:line="92" w:lineRule="exact"/>
        <w:rPr>
          <w:rFonts w:ascii="Calibri" w:cs="Calibri" w:eastAsia="Calibri" w:hAnsi="Calibri"/>
          <w:sz w:val="14"/>
          <w:szCs w:val="14"/>
          <w:color w:val="auto"/>
        </w:rPr>
      </w:pPr>
    </w:p>
    <w:p>
      <w:pPr>
        <w:ind w:left="980" w:hanging="341"/>
        <w:spacing w:after="0"/>
        <w:tabs>
          <w:tab w:leader="none" w:pos="980" w:val="left"/>
        </w:tabs>
        <w:numPr>
          <w:ilvl w:val="1"/>
          <w:numId w:val="20"/>
        </w:numPr>
        <w:rPr>
          <w:rFonts w:ascii="Calibri" w:cs="Calibri" w:eastAsia="Calibri" w:hAnsi="Calibri"/>
          <w:sz w:val="14"/>
          <w:szCs w:val="14"/>
          <w:color w:val="auto"/>
        </w:rPr>
      </w:pPr>
      <w:r>
        <w:rPr>
          <w:rFonts w:ascii="Calibri" w:cs="Calibri" w:eastAsia="Calibri" w:hAnsi="Calibri"/>
          <w:sz w:val="14"/>
          <w:szCs w:val="14"/>
          <w:color w:val="auto"/>
        </w:rPr>
        <w:t>a person associated with the Company under Secton 708(12) of the Corporatons Act; or</w:t>
      </w:r>
    </w:p>
    <w:p>
      <w:pPr>
        <w:spacing w:after="0" w:line="91" w:lineRule="exact"/>
        <w:rPr>
          <w:rFonts w:ascii="Calibri" w:cs="Calibri" w:eastAsia="Calibri" w:hAnsi="Calibri"/>
          <w:sz w:val="14"/>
          <w:szCs w:val="14"/>
          <w:color w:val="auto"/>
        </w:rPr>
      </w:pPr>
    </w:p>
    <w:p>
      <w:pPr>
        <w:ind w:left="980" w:hanging="341"/>
        <w:spacing w:after="0"/>
        <w:tabs>
          <w:tab w:leader="none" w:pos="980" w:val="left"/>
        </w:tabs>
        <w:numPr>
          <w:ilvl w:val="1"/>
          <w:numId w:val="20"/>
        </w:numPr>
        <w:rPr>
          <w:rFonts w:ascii="Calibri" w:cs="Calibri" w:eastAsia="Calibri" w:hAnsi="Calibri"/>
          <w:sz w:val="14"/>
          <w:szCs w:val="14"/>
          <w:color w:val="auto"/>
        </w:rPr>
      </w:pPr>
      <w:r>
        <w:rPr>
          <w:rFonts w:ascii="Calibri" w:cs="Calibri" w:eastAsia="Calibri" w:hAnsi="Calibri"/>
          <w:sz w:val="14"/>
          <w:szCs w:val="14"/>
          <w:color w:val="auto"/>
        </w:rPr>
        <w:t>a “professional investor” within the meaning of secton 708(11)(a) or (b) of the Corporatons Act.</w:t>
      </w:r>
    </w:p>
    <w:p>
      <w:pPr>
        <w:spacing w:after="0" w:line="169" w:lineRule="exact"/>
        <w:rPr>
          <w:sz w:val="20"/>
          <w:szCs w:val="20"/>
          <w:color w:val="auto"/>
        </w:rPr>
      </w:pPr>
    </w:p>
    <w:p>
      <w:pPr>
        <w:ind w:left="220" w:right="439"/>
        <w:spacing w:after="0" w:line="235" w:lineRule="auto"/>
        <w:rPr>
          <w:sz w:val="20"/>
          <w:szCs w:val="20"/>
          <w:color w:val="auto"/>
        </w:rPr>
      </w:pPr>
      <w:r>
        <w:rPr>
          <w:rFonts w:ascii="Calibri" w:cs="Calibri" w:eastAsia="Calibri" w:hAnsi="Calibri"/>
          <w:sz w:val="14"/>
          <w:szCs w:val="14"/>
          <w:color w:val="auto"/>
        </w:rPr>
        <w:t>To the extent that you are unable to confrm or warrant that you are an exempt sophistcated investor, associated person or professional investor under the Corporatons Act any ofer made to you under this prospectus supplement is void and incapable of acceptance.</w:t>
      </w:r>
    </w:p>
    <w:p>
      <w:pPr>
        <w:spacing w:after="0" w:line="190" w:lineRule="exact"/>
        <w:rPr>
          <w:sz w:val="20"/>
          <w:szCs w:val="20"/>
          <w:color w:val="auto"/>
        </w:rPr>
      </w:pPr>
    </w:p>
    <w:p>
      <w:pPr>
        <w:ind w:left="560" w:right="259" w:hanging="341"/>
        <w:spacing w:after="0" w:line="235" w:lineRule="auto"/>
        <w:tabs>
          <w:tab w:leader="none" w:pos="560" w:val="left"/>
        </w:tabs>
        <w:numPr>
          <w:ilvl w:val="0"/>
          <w:numId w:val="21"/>
        </w:numPr>
        <w:rPr>
          <w:rFonts w:ascii="Calibri" w:cs="Calibri" w:eastAsia="Calibri" w:hAnsi="Calibri"/>
          <w:sz w:val="14"/>
          <w:szCs w:val="14"/>
          <w:color w:val="auto"/>
        </w:rPr>
      </w:pPr>
      <w:r>
        <w:rPr>
          <w:rFonts w:ascii="Calibri" w:cs="Calibri" w:eastAsia="Calibri" w:hAnsi="Calibri"/>
          <w:sz w:val="14"/>
          <w:szCs w:val="14"/>
          <w:color w:val="auto"/>
        </w:rPr>
        <w:t>You warrant and agree that you will not ofer any of the securites issued to you pursuant to this prospectus supplement for resale in Australia within 12 months of those securites being issued unless any such resale ofer is exempt from the requirement to issue a disclosure document under secton 708 of the Corporatons Act.</w:t>
      </w:r>
    </w:p>
    <w:p>
      <w:pPr>
        <w:spacing w:after="0" w:line="250" w:lineRule="exact"/>
        <w:rPr>
          <w:sz w:val="20"/>
          <w:szCs w:val="20"/>
          <w:color w:val="auto"/>
        </w:rPr>
      </w:pPr>
    </w:p>
    <w:p>
      <w:pPr>
        <w:ind w:left="220"/>
        <w:spacing w:after="0"/>
        <w:rPr>
          <w:sz w:val="20"/>
          <w:szCs w:val="20"/>
          <w:color w:val="auto"/>
        </w:rPr>
      </w:pPr>
      <w:r>
        <w:rPr>
          <w:rFonts w:ascii="Calibri" w:cs="Calibri" w:eastAsia="Calibri" w:hAnsi="Calibri"/>
          <w:sz w:val="14"/>
          <w:szCs w:val="14"/>
          <w:b w:val="1"/>
          <w:bCs w:val="1"/>
          <w:i w:val="1"/>
          <w:iCs w:val="1"/>
          <w:color w:val="auto"/>
        </w:rPr>
        <w:t>European Economic Area</w:t>
      </w:r>
    </w:p>
    <w:p>
      <w:pPr>
        <w:spacing w:after="0" w:line="85" w:lineRule="exact"/>
        <w:rPr>
          <w:sz w:val="20"/>
          <w:szCs w:val="20"/>
          <w:color w:val="auto"/>
        </w:rPr>
      </w:pPr>
    </w:p>
    <w:p>
      <w:pPr>
        <w:ind w:left="220" w:right="339"/>
        <w:spacing w:after="0" w:line="235" w:lineRule="auto"/>
        <w:rPr>
          <w:sz w:val="20"/>
          <w:szCs w:val="20"/>
          <w:color w:val="auto"/>
        </w:rPr>
      </w:pPr>
      <w:r>
        <w:rPr>
          <w:rFonts w:ascii="Calibri" w:cs="Calibri" w:eastAsia="Calibri" w:hAnsi="Calibri"/>
          <w:sz w:val="14"/>
          <w:szCs w:val="14"/>
          <w:color w:val="auto"/>
        </w:rPr>
        <w:t>In relaton to each Member State of the European Economic Area (each, a “Relevant State”), none of our securites have been ofered or will be ofered pursuant to this ofering to the public in that Relevant State prior to the publicaton of a prospectus in relaton to our securites which has been approved by the competent authority in that Relevant State or, where appropriate, approved in another Relevant State and notfed to the competent authority in that Relevant State, all in accordance with the Prospectus Regulaton, except that the shares of our common stock may be ofered to the public in that Relevant State at any tme:</w:t>
      </w:r>
    </w:p>
    <w:p>
      <w:pPr>
        <w:spacing w:after="0" w:line="94" w:lineRule="exact"/>
        <w:rPr>
          <w:sz w:val="20"/>
          <w:szCs w:val="20"/>
          <w:color w:val="auto"/>
        </w:rPr>
      </w:pPr>
    </w:p>
    <w:p>
      <w:pPr>
        <w:ind w:left="560" w:hanging="341"/>
        <w:spacing w:after="0"/>
        <w:tabs>
          <w:tab w:leader="none" w:pos="560" w:val="left"/>
        </w:tabs>
        <w:numPr>
          <w:ilvl w:val="0"/>
          <w:numId w:val="22"/>
        </w:numPr>
        <w:rPr>
          <w:rFonts w:ascii="Calibri" w:cs="Calibri" w:eastAsia="Calibri" w:hAnsi="Calibri"/>
          <w:sz w:val="14"/>
          <w:szCs w:val="14"/>
          <w:color w:val="auto"/>
        </w:rPr>
      </w:pPr>
      <w:r>
        <w:rPr>
          <w:rFonts w:ascii="Calibri" w:cs="Calibri" w:eastAsia="Calibri" w:hAnsi="Calibri"/>
          <w:sz w:val="14"/>
          <w:szCs w:val="14"/>
          <w:color w:val="auto"/>
        </w:rPr>
        <w:t>to any qualifed investor as defned under Artcle 2 of the Prospectus Regulaton;</w:t>
      </w:r>
    </w:p>
    <w:p>
      <w:pPr>
        <w:spacing w:after="0" w:line="95" w:lineRule="exact"/>
        <w:rPr>
          <w:rFonts w:ascii="Calibri" w:cs="Calibri" w:eastAsia="Calibri" w:hAnsi="Calibri"/>
          <w:sz w:val="14"/>
          <w:szCs w:val="14"/>
          <w:color w:val="auto"/>
        </w:rPr>
      </w:pPr>
    </w:p>
    <w:p>
      <w:pPr>
        <w:ind w:left="560" w:right="699" w:hanging="341"/>
        <w:spacing w:after="0" w:line="235" w:lineRule="auto"/>
        <w:tabs>
          <w:tab w:leader="none" w:pos="560" w:val="left"/>
        </w:tabs>
        <w:numPr>
          <w:ilvl w:val="0"/>
          <w:numId w:val="22"/>
        </w:numPr>
        <w:rPr>
          <w:rFonts w:ascii="Calibri" w:cs="Calibri" w:eastAsia="Calibri" w:hAnsi="Calibri"/>
          <w:sz w:val="14"/>
          <w:szCs w:val="14"/>
          <w:color w:val="auto"/>
        </w:rPr>
      </w:pPr>
      <w:r>
        <w:rPr>
          <w:rFonts w:ascii="Calibri" w:cs="Calibri" w:eastAsia="Calibri" w:hAnsi="Calibri"/>
          <w:sz w:val="14"/>
          <w:szCs w:val="14"/>
          <w:color w:val="auto"/>
        </w:rPr>
        <w:t>to fewer than 150 natural or legal persons (other than qualifed investors as defned under Artcle 2 of the Prospectus Regulaton), subject to obtaining the prior consent of the representatves for any such ofer; or</w:t>
      </w:r>
    </w:p>
    <w:p>
      <w:pPr>
        <w:spacing w:after="0" w:line="92" w:lineRule="exact"/>
        <w:rPr>
          <w:rFonts w:ascii="Calibri" w:cs="Calibri" w:eastAsia="Calibri" w:hAnsi="Calibri"/>
          <w:sz w:val="14"/>
          <w:szCs w:val="14"/>
          <w:color w:val="auto"/>
        </w:rPr>
      </w:pPr>
    </w:p>
    <w:p>
      <w:pPr>
        <w:ind w:left="560" w:hanging="341"/>
        <w:spacing w:after="0"/>
        <w:tabs>
          <w:tab w:leader="none" w:pos="560" w:val="left"/>
        </w:tabs>
        <w:numPr>
          <w:ilvl w:val="0"/>
          <w:numId w:val="22"/>
        </w:numPr>
        <w:rPr>
          <w:rFonts w:ascii="Calibri" w:cs="Calibri" w:eastAsia="Calibri" w:hAnsi="Calibri"/>
          <w:sz w:val="14"/>
          <w:szCs w:val="14"/>
          <w:color w:val="auto"/>
        </w:rPr>
      </w:pPr>
      <w:r>
        <w:rPr>
          <w:rFonts w:ascii="Calibri" w:cs="Calibri" w:eastAsia="Calibri" w:hAnsi="Calibri"/>
          <w:sz w:val="14"/>
          <w:szCs w:val="14"/>
          <w:color w:val="auto"/>
        </w:rPr>
        <w:t>in any other circumstances falling within Artcle 1(4) of the Prospectus Regulaton,</w:t>
      </w:r>
    </w:p>
    <w:p>
      <w:pPr>
        <w:spacing w:after="0" w:line="113" w:lineRule="exact"/>
        <w:rPr>
          <w:sz w:val="20"/>
          <w:szCs w:val="20"/>
          <w:color w:val="auto"/>
        </w:rPr>
      </w:pPr>
    </w:p>
    <w:p>
      <w:pPr>
        <w:jc w:val="center"/>
        <w:ind w:right="19"/>
        <w:spacing w:after="0"/>
        <w:rPr>
          <w:sz w:val="20"/>
          <w:szCs w:val="20"/>
          <w:color w:val="auto"/>
        </w:rPr>
      </w:pPr>
      <w:r>
        <w:rPr>
          <w:rFonts w:ascii="Calibri" w:cs="Calibri" w:eastAsia="Calibri" w:hAnsi="Calibri"/>
          <w:sz w:val="14"/>
          <w:szCs w:val="14"/>
          <w:color w:val="auto"/>
        </w:rPr>
        <w:t>S-33</w:t>
      </w:r>
    </w:p>
    <w:p>
      <w:pPr>
        <w:sectPr>
          <w:pgSz w:w="11900" w:h="16838" w:orient="portrait"/>
          <w:cols w:equalWidth="0" w:num="1">
            <w:col w:w="9019"/>
          </w:cols>
          <w:pgMar w:left="1440" w:top="238" w:right="1440" w:bottom="1440" w:gutter="0" w:footer="0" w:header="0"/>
        </w:sectPr>
      </w:pPr>
    </w:p>
    <w:bookmarkStart w:id="35" w:name="page36"/>
    <w:bookmarkEnd w:id="35"/>
    <w:p>
      <w:pPr>
        <w:ind w:left="220" w:right="239"/>
        <w:spacing w:after="0" w:line="235" w:lineRule="auto"/>
        <w:rPr>
          <w:sz w:val="20"/>
          <w:szCs w:val="20"/>
          <w:color w:val="auto"/>
        </w:rPr>
      </w:pPr>
      <w:r>
        <w:rPr>
          <w:rFonts w:ascii="Calibri" w:cs="Calibri" w:eastAsia="Calibri" w:hAnsi="Calibri"/>
          <w:sz w:val="14"/>
          <w:szCs w:val="14"/>
          <w:i w:val="1"/>
          <w:iCs w:val="1"/>
          <w:color w:val="auto"/>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01535" cy="32385"/>
                    </a:xfrm>
                    <a:prstGeom prst="rect">
                      <a:avLst/>
                    </a:prstGeom>
                    <a:noFill/>
                  </pic:spPr>
                </pic:pic>
              </a:graphicData>
            </a:graphic>
          </wp:anchor>
        </w:drawing>
        <w:t xml:space="preserve">provided </w:t>
      </w:r>
      <w:r>
        <w:rPr>
          <w:rFonts w:ascii="Calibri" w:cs="Calibri" w:eastAsia="Calibri" w:hAnsi="Calibri"/>
          <w:sz w:val="14"/>
          <w:szCs w:val="14"/>
          <w:color w:val="auto"/>
        </w:rPr>
        <w:t>that no such ofer of our securites shall require us or any of the representatves to publish a prospectus pursuant to Artcle 3 of the Prospectus</w:t>
      </w:r>
      <w:r>
        <w:rPr>
          <w:rFonts w:ascii="Calibri" w:cs="Calibri" w:eastAsia="Calibri" w:hAnsi="Calibri"/>
          <w:sz w:val="14"/>
          <w:szCs w:val="14"/>
          <w:i w:val="1"/>
          <w:iCs w:val="1"/>
          <w:color w:val="auto"/>
        </w:rPr>
        <w:t xml:space="preserve"> </w:t>
      </w:r>
      <w:r>
        <w:rPr>
          <w:rFonts w:ascii="Calibri" w:cs="Calibri" w:eastAsia="Calibri" w:hAnsi="Calibri"/>
          <w:sz w:val="14"/>
          <w:szCs w:val="14"/>
          <w:color w:val="auto"/>
        </w:rPr>
        <w:t>Regulaton or supplement a prospectus pursuant to Artcle 23 of the Prospectus Regulaton or publish an Annex IX document pursuant to Artcle 1(4) of the Prospectus Regulaton.</w:t>
      </w:r>
    </w:p>
    <w:p>
      <w:pPr>
        <w:spacing w:after="0" w:line="170" w:lineRule="exact"/>
        <w:rPr>
          <w:sz w:val="20"/>
          <w:szCs w:val="20"/>
          <w:color w:val="auto"/>
        </w:rPr>
      </w:pPr>
    </w:p>
    <w:p>
      <w:pPr>
        <w:ind w:left="220" w:right="319"/>
        <w:spacing w:after="0" w:line="235" w:lineRule="auto"/>
        <w:rPr>
          <w:sz w:val="20"/>
          <w:szCs w:val="20"/>
          <w:color w:val="auto"/>
        </w:rPr>
      </w:pPr>
      <w:r>
        <w:rPr>
          <w:rFonts w:ascii="Calibri" w:cs="Calibri" w:eastAsia="Calibri" w:hAnsi="Calibri"/>
          <w:sz w:val="14"/>
          <w:szCs w:val="14"/>
          <w:color w:val="auto"/>
        </w:rPr>
        <w:t>For the purposes of this provision, the expression an “ofer to the public” in relaton to any shares of our securites in any Relevant State means the communicaton in any form and by any means of sufcient informaton on the terms of the ofer and any of our securites to be ofered so as to enable an investor to decide to purchase or subscribe for any of our securites, and the expression “Prospectus Regulaton” means Regulaton (EU) 2017/1129, as amended.</w:t>
      </w:r>
    </w:p>
    <w:p>
      <w:pPr>
        <w:spacing w:after="0" w:line="251" w:lineRule="exact"/>
        <w:rPr>
          <w:sz w:val="20"/>
          <w:szCs w:val="20"/>
          <w:color w:val="auto"/>
        </w:rPr>
      </w:pPr>
    </w:p>
    <w:p>
      <w:pPr>
        <w:ind w:left="220"/>
        <w:spacing w:after="0"/>
        <w:rPr>
          <w:sz w:val="20"/>
          <w:szCs w:val="20"/>
          <w:color w:val="auto"/>
        </w:rPr>
      </w:pPr>
      <w:r>
        <w:rPr>
          <w:rFonts w:ascii="Calibri" w:cs="Calibri" w:eastAsia="Calibri" w:hAnsi="Calibri"/>
          <w:sz w:val="14"/>
          <w:szCs w:val="14"/>
          <w:b w:val="1"/>
          <w:bCs w:val="1"/>
          <w:i w:val="1"/>
          <w:iCs w:val="1"/>
          <w:color w:val="auto"/>
        </w:rPr>
        <w:t>United Kingdom</w:t>
      </w:r>
    </w:p>
    <w:p>
      <w:pPr>
        <w:spacing w:after="0" w:line="85" w:lineRule="exact"/>
        <w:rPr>
          <w:sz w:val="20"/>
          <w:szCs w:val="20"/>
          <w:color w:val="auto"/>
        </w:rPr>
      </w:pPr>
    </w:p>
    <w:p>
      <w:pPr>
        <w:ind w:left="220" w:right="319"/>
        <w:spacing w:after="0" w:line="235" w:lineRule="auto"/>
        <w:rPr>
          <w:sz w:val="20"/>
          <w:szCs w:val="20"/>
          <w:color w:val="auto"/>
        </w:rPr>
      </w:pPr>
      <w:r>
        <w:rPr>
          <w:rFonts w:ascii="Calibri" w:cs="Calibri" w:eastAsia="Calibri" w:hAnsi="Calibri"/>
          <w:sz w:val="14"/>
          <w:szCs w:val="14"/>
          <w:color w:val="auto"/>
        </w:rPr>
        <w:t>None of our securites have been ofered or will be ofered pursuant to this ofering to the public in the United Kingdom except that our securites may be ofered to the public in the United Kingdom at any tme:</w:t>
      </w:r>
    </w:p>
    <w:p>
      <w:pPr>
        <w:spacing w:after="0" w:line="96" w:lineRule="exact"/>
        <w:rPr>
          <w:sz w:val="20"/>
          <w:szCs w:val="20"/>
          <w:color w:val="auto"/>
        </w:rPr>
      </w:pPr>
    </w:p>
    <w:p>
      <w:pPr>
        <w:ind w:left="560" w:right="259" w:hanging="341"/>
        <w:spacing w:after="0" w:line="235" w:lineRule="auto"/>
        <w:tabs>
          <w:tab w:leader="none" w:pos="560" w:val="left"/>
        </w:tabs>
        <w:numPr>
          <w:ilvl w:val="0"/>
          <w:numId w:val="23"/>
        </w:numPr>
        <w:rPr>
          <w:rFonts w:ascii="Calibri" w:cs="Calibri" w:eastAsia="Calibri" w:hAnsi="Calibri"/>
          <w:sz w:val="14"/>
          <w:szCs w:val="14"/>
          <w:color w:val="auto"/>
        </w:rPr>
      </w:pPr>
      <w:r>
        <w:rPr>
          <w:rFonts w:ascii="Calibri" w:cs="Calibri" w:eastAsia="Calibri" w:hAnsi="Calibri"/>
          <w:sz w:val="14"/>
          <w:szCs w:val="14"/>
          <w:color w:val="auto"/>
        </w:rPr>
        <w:t>where (i) the ofer is conditonal on the admission of the securites to trading on the London Stock Exchange plc’s main market (in reliance on the excepton in paragraph 6(a) of Schedule 1 of the POATR) or (ii) the securites being ofered are at the tme of the ofer already admited to trading on London Stock Exchange plc’s main market (in reliance on the excepton in paragraph 6(b) of Schedule 1 of the POATR);</w:t>
      </w:r>
    </w:p>
    <w:p>
      <w:pPr>
        <w:spacing w:after="0" w:line="92" w:lineRule="exact"/>
        <w:rPr>
          <w:rFonts w:ascii="Calibri" w:cs="Calibri" w:eastAsia="Calibri" w:hAnsi="Calibri"/>
          <w:sz w:val="14"/>
          <w:szCs w:val="14"/>
          <w:color w:val="auto"/>
        </w:rPr>
      </w:pPr>
    </w:p>
    <w:p>
      <w:pPr>
        <w:ind w:left="560" w:hanging="341"/>
        <w:spacing w:after="0"/>
        <w:tabs>
          <w:tab w:leader="none" w:pos="560" w:val="left"/>
        </w:tabs>
        <w:numPr>
          <w:ilvl w:val="0"/>
          <w:numId w:val="23"/>
        </w:numPr>
        <w:rPr>
          <w:rFonts w:ascii="Calibri" w:cs="Calibri" w:eastAsia="Calibri" w:hAnsi="Calibri"/>
          <w:sz w:val="14"/>
          <w:szCs w:val="14"/>
          <w:color w:val="auto"/>
        </w:rPr>
      </w:pPr>
      <w:r>
        <w:rPr>
          <w:rFonts w:ascii="Calibri" w:cs="Calibri" w:eastAsia="Calibri" w:hAnsi="Calibri"/>
          <w:sz w:val="14"/>
          <w:szCs w:val="14"/>
          <w:color w:val="auto"/>
        </w:rPr>
        <w:t>to any “qualifed investor” as defned in paragraph 15 of Schedule 1 of the POATR;</w:t>
      </w:r>
    </w:p>
    <w:p>
      <w:pPr>
        <w:spacing w:after="0" w:line="95" w:lineRule="exact"/>
        <w:rPr>
          <w:rFonts w:ascii="Calibri" w:cs="Calibri" w:eastAsia="Calibri" w:hAnsi="Calibri"/>
          <w:sz w:val="14"/>
          <w:szCs w:val="14"/>
          <w:color w:val="auto"/>
        </w:rPr>
      </w:pPr>
    </w:p>
    <w:p>
      <w:pPr>
        <w:ind w:left="560" w:right="539" w:hanging="341"/>
        <w:spacing w:after="0" w:line="235" w:lineRule="auto"/>
        <w:tabs>
          <w:tab w:leader="none" w:pos="560" w:val="left"/>
        </w:tabs>
        <w:numPr>
          <w:ilvl w:val="0"/>
          <w:numId w:val="23"/>
        </w:numPr>
        <w:rPr>
          <w:rFonts w:ascii="Calibri" w:cs="Calibri" w:eastAsia="Calibri" w:hAnsi="Calibri"/>
          <w:sz w:val="14"/>
          <w:szCs w:val="14"/>
          <w:color w:val="auto"/>
        </w:rPr>
      </w:pPr>
      <w:r>
        <w:rPr>
          <w:rFonts w:ascii="Calibri" w:cs="Calibri" w:eastAsia="Calibri" w:hAnsi="Calibri"/>
          <w:sz w:val="14"/>
          <w:szCs w:val="14"/>
          <w:color w:val="auto"/>
        </w:rPr>
        <w:t>to fewer than 150 persons (other than qualifed investors as defned in paragraph 15 of Schedule 1 of the POATR), subject to obtaining the prior consent of the representatves for any such ofer; or</w:t>
      </w:r>
    </w:p>
    <w:p>
      <w:pPr>
        <w:spacing w:after="0" w:line="95" w:lineRule="exact"/>
        <w:rPr>
          <w:rFonts w:ascii="Calibri" w:cs="Calibri" w:eastAsia="Calibri" w:hAnsi="Calibri"/>
          <w:sz w:val="14"/>
          <w:szCs w:val="14"/>
          <w:color w:val="auto"/>
        </w:rPr>
      </w:pPr>
    </w:p>
    <w:p>
      <w:pPr>
        <w:ind w:left="560" w:right="299" w:hanging="341"/>
        <w:spacing w:after="0" w:line="235" w:lineRule="auto"/>
        <w:tabs>
          <w:tab w:leader="none" w:pos="560" w:val="left"/>
        </w:tabs>
        <w:numPr>
          <w:ilvl w:val="0"/>
          <w:numId w:val="23"/>
        </w:numPr>
        <w:rPr>
          <w:rFonts w:ascii="Calibri" w:cs="Calibri" w:eastAsia="Calibri" w:hAnsi="Calibri"/>
          <w:sz w:val="14"/>
          <w:szCs w:val="14"/>
          <w:color w:val="auto"/>
        </w:rPr>
      </w:pPr>
      <w:r>
        <w:rPr>
          <w:rFonts w:ascii="Calibri" w:cs="Calibri" w:eastAsia="Calibri" w:hAnsi="Calibri"/>
          <w:sz w:val="14"/>
          <w:szCs w:val="14"/>
          <w:color w:val="auto"/>
        </w:rPr>
        <w:t>in any other circumstances falling within Part 1 of Schedule 1 of the POATR to any legal entty which is a qualifed investor as defned under Artcle 2 of the UK Prospectus Regulaton.</w:t>
      </w:r>
    </w:p>
    <w:p>
      <w:pPr>
        <w:spacing w:after="0" w:line="169" w:lineRule="exact"/>
        <w:rPr>
          <w:sz w:val="20"/>
          <w:szCs w:val="20"/>
          <w:color w:val="auto"/>
        </w:rPr>
      </w:pPr>
    </w:p>
    <w:p>
      <w:pPr>
        <w:ind w:left="220" w:right="319"/>
        <w:spacing w:after="0" w:line="260" w:lineRule="auto"/>
        <w:rPr>
          <w:sz w:val="20"/>
          <w:szCs w:val="20"/>
          <w:color w:val="auto"/>
        </w:rPr>
      </w:pPr>
      <w:r>
        <w:rPr>
          <w:rFonts w:ascii="Calibri" w:cs="Calibri" w:eastAsia="Calibri" w:hAnsi="Calibri"/>
          <w:sz w:val="13"/>
          <w:szCs w:val="13"/>
          <w:color w:val="auto"/>
        </w:rPr>
        <w:t>For the purposes of this provision, the expression an “ofer to the public” in relaton to our securites in the United Kingdom means the communicaton to any person which presents sufcient informaton on: (a) our securites to be ofered; and (b) the terms on which they are to be ofered, to enable an investor to decide to buy or subscribe for our securites and the expression “POATR” means the Public Ofers and Admissions to Trading Regulatons 2024.</w:t>
      </w:r>
    </w:p>
    <w:p>
      <w:pPr>
        <w:spacing w:after="0" w:line="100" w:lineRule="exact"/>
        <w:rPr>
          <w:sz w:val="20"/>
          <w:szCs w:val="20"/>
          <w:color w:val="auto"/>
        </w:rPr>
      </w:pPr>
    </w:p>
    <w:p>
      <w:pPr>
        <w:jc w:val="center"/>
        <w:ind w:right="19"/>
        <w:spacing w:after="0"/>
        <w:rPr>
          <w:sz w:val="20"/>
          <w:szCs w:val="20"/>
          <w:color w:val="auto"/>
        </w:rPr>
      </w:pPr>
      <w:r>
        <w:rPr>
          <w:rFonts w:ascii="Calibri" w:cs="Calibri" w:eastAsia="Calibri" w:hAnsi="Calibri"/>
          <w:sz w:val="14"/>
          <w:szCs w:val="14"/>
          <w:color w:val="auto"/>
        </w:rPr>
        <w:t>S-34</w:t>
      </w:r>
    </w:p>
    <w:p>
      <w:pPr>
        <w:sectPr>
          <w:pgSz w:w="11900" w:h="16838" w:orient="portrait"/>
          <w:cols w:equalWidth="0" w:num="1">
            <w:col w:w="9019"/>
          </w:cols>
          <w:pgMar w:left="1440" w:top="238" w:right="1440" w:bottom="1440" w:gutter="0" w:footer="0" w:header="0"/>
        </w:sectPr>
      </w:pPr>
    </w:p>
    <w:bookmarkStart w:id="36" w:name="page37"/>
    <w:bookmarkEnd w:id="36"/>
    <w:p>
      <w:pPr>
        <w:jc w:val="center"/>
        <w:ind w:right="19"/>
        <w:spacing w:after="0"/>
        <w:rPr>
          <w:sz w:val="20"/>
          <w:szCs w:val="20"/>
          <w:color w:val="auto"/>
        </w:rPr>
      </w:pPr>
      <w:r>
        <w:rPr>
          <w:rFonts w:ascii="Calibri" w:cs="Calibri" w:eastAsia="Calibri" w:hAnsi="Calibri"/>
          <w:sz w:val="14"/>
          <w:szCs w:val="14"/>
          <w:b w:val="1"/>
          <w:bCs w:val="1"/>
          <w:color w:val="auto"/>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01535" cy="33020"/>
                    </a:xfrm>
                    <a:prstGeom prst="rect">
                      <a:avLst/>
                    </a:prstGeom>
                    <a:noFill/>
                  </pic:spPr>
                </pic:pic>
              </a:graphicData>
            </a:graphic>
          </wp:anchor>
        </w:drawing>
        <w:t>LEGAL MATTERS</w:t>
      </w:r>
    </w:p>
    <w:p>
      <w:pPr>
        <w:spacing w:after="0" w:line="169" w:lineRule="exact"/>
        <w:rPr>
          <w:sz w:val="20"/>
          <w:szCs w:val="20"/>
          <w:color w:val="auto"/>
        </w:rPr>
      </w:pPr>
    </w:p>
    <w:p>
      <w:pPr>
        <w:ind w:left="220" w:right="299"/>
        <w:spacing w:after="0" w:line="235" w:lineRule="auto"/>
        <w:rPr>
          <w:sz w:val="20"/>
          <w:szCs w:val="20"/>
          <w:color w:val="auto"/>
        </w:rPr>
      </w:pPr>
      <w:r>
        <w:rPr>
          <w:rFonts w:ascii="Calibri" w:cs="Calibri" w:eastAsia="Calibri" w:hAnsi="Calibri"/>
          <w:sz w:val="14"/>
          <w:szCs w:val="14"/>
          <w:color w:val="auto"/>
        </w:rPr>
        <w:t>The validity of the securites ofered by this prospectus supplement will be passed upon for us by Wilson Sonsini Goodrich &amp; Rosat, Professional Corporaton, Palo Alto, California. Investment funds associated with Wilson Sonsini Goodrich &amp; Rosat, Professional Corporaton, hold an aggregate of 22,237 shares of our common stock, which represent less than 1% of our outstanding shares of common stock. The underwriters are being represented in connecton with this ofering by Cooley LLP, New York, New York.</w:t>
      </w:r>
    </w:p>
    <w:p>
      <w:pPr>
        <w:spacing w:after="0" w:line="114" w:lineRule="exact"/>
        <w:rPr>
          <w:sz w:val="20"/>
          <w:szCs w:val="20"/>
          <w:color w:val="auto"/>
        </w:rPr>
      </w:pPr>
    </w:p>
    <w:p>
      <w:pPr>
        <w:jc w:val="center"/>
        <w:spacing w:after="0"/>
        <w:rPr>
          <w:sz w:val="20"/>
          <w:szCs w:val="20"/>
          <w:color w:val="auto"/>
        </w:rPr>
      </w:pPr>
      <w:r>
        <w:rPr>
          <w:rFonts w:ascii="Calibri" w:cs="Calibri" w:eastAsia="Calibri" w:hAnsi="Calibri"/>
          <w:sz w:val="14"/>
          <w:szCs w:val="14"/>
          <w:color w:val="auto"/>
        </w:rPr>
        <w:t>S-35</w:t>
      </w:r>
    </w:p>
    <w:p>
      <w:pPr>
        <w:sectPr>
          <w:pgSz w:w="11900" w:h="16838" w:orient="portrait"/>
          <w:cols w:equalWidth="0" w:num="1">
            <w:col w:w="9019"/>
          </w:cols>
          <w:pgMar w:left="1440" w:top="234" w:right="1440" w:bottom="1440" w:gutter="0" w:footer="0" w:header="0"/>
        </w:sectPr>
      </w:pPr>
    </w:p>
    <w:bookmarkStart w:id="37" w:name="page38"/>
    <w:bookmarkEnd w:id="37"/>
    <w:p>
      <w:pPr>
        <w:jc w:val="center"/>
        <w:spacing w:after="0"/>
        <w:rPr>
          <w:sz w:val="20"/>
          <w:szCs w:val="20"/>
          <w:color w:val="auto"/>
        </w:rPr>
      </w:pPr>
      <w:r>
        <w:rPr>
          <w:rFonts w:ascii="Calibri" w:cs="Calibri" w:eastAsia="Calibri" w:hAnsi="Calibri"/>
          <w:sz w:val="14"/>
          <w:szCs w:val="14"/>
          <w:b w:val="1"/>
          <w:bCs w:val="1"/>
          <w:color w:val="auto"/>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01535" cy="33020"/>
                    </a:xfrm>
                    <a:prstGeom prst="rect">
                      <a:avLst/>
                    </a:prstGeom>
                    <a:noFill/>
                  </pic:spPr>
                </pic:pic>
              </a:graphicData>
            </a:graphic>
          </wp:anchor>
        </w:drawing>
        <w:t>EXPERTS</w:t>
      </w:r>
    </w:p>
    <w:p>
      <w:pPr>
        <w:spacing w:after="0" w:line="169" w:lineRule="exact"/>
        <w:rPr>
          <w:sz w:val="20"/>
          <w:szCs w:val="20"/>
          <w:color w:val="auto"/>
        </w:rPr>
      </w:pPr>
    </w:p>
    <w:p>
      <w:pPr>
        <w:jc w:val="both"/>
        <w:ind w:left="220" w:right="279"/>
        <w:spacing w:after="0" w:line="258" w:lineRule="auto"/>
        <w:rPr>
          <w:sz w:val="20"/>
          <w:szCs w:val="20"/>
          <w:color w:val="auto"/>
        </w:rPr>
      </w:pPr>
      <w:r>
        <w:rPr>
          <w:rFonts w:ascii="Calibri" w:cs="Calibri" w:eastAsia="Calibri" w:hAnsi="Calibri"/>
          <w:sz w:val="13"/>
          <w:szCs w:val="13"/>
          <w:color w:val="auto"/>
        </w:rPr>
        <w:t>The fnancial statements of Enliven Therapeutcs, Inc. as of December 31, 2025 and 2024, and for each of the two years in the period ended December 31, 2025, incorporated by reference in this prospectus supplement by reference to Enliven Therapeutcs, Inc.’s annual report on Form 10-K for the year ended December 31, 2025 have been audited by Deloite &amp; Touche LLP, an independent registered public accountng frm, as stated in their report. Such fnancial statements are incorporated by reference in reliance upon the report of such frm, given their authority as experts in accountng and auditng.</w:t>
      </w:r>
    </w:p>
    <w:p>
      <w:pPr>
        <w:spacing w:after="0" w:line="101" w:lineRule="exact"/>
        <w:rPr>
          <w:sz w:val="20"/>
          <w:szCs w:val="20"/>
          <w:color w:val="auto"/>
        </w:rPr>
      </w:pPr>
    </w:p>
    <w:p>
      <w:pPr>
        <w:jc w:val="center"/>
        <w:spacing w:after="0"/>
        <w:rPr>
          <w:sz w:val="20"/>
          <w:szCs w:val="20"/>
          <w:color w:val="auto"/>
        </w:rPr>
      </w:pPr>
      <w:r>
        <w:rPr>
          <w:rFonts w:ascii="Calibri" w:cs="Calibri" w:eastAsia="Calibri" w:hAnsi="Calibri"/>
          <w:sz w:val="14"/>
          <w:szCs w:val="14"/>
          <w:color w:val="auto"/>
        </w:rPr>
        <w:t>S-36</w:t>
      </w:r>
    </w:p>
    <w:p>
      <w:pPr>
        <w:sectPr>
          <w:pgSz w:w="11900" w:h="16838" w:orient="portrait"/>
          <w:cols w:equalWidth="0" w:num="1">
            <w:col w:w="9019"/>
          </w:cols>
          <w:pgMar w:left="1440" w:top="234" w:right="1440" w:bottom="1440" w:gutter="0" w:footer="0" w:header="0"/>
        </w:sectPr>
      </w:pPr>
    </w:p>
    <w:bookmarkStart w:id="38" w:name="page39"/>
    <w:bookmarkEnd w:id="38"/>
    <w:p>
      <w:pPr>
        <w:jc w:val="center"/>
        <w:ind w:right="19"/>
        <w:spacing w:after="0"/>
        <w:rPr>
          <w:sz w:val="20"/>
          <w:szCs w:val="20"/>
          <w:color w:val="auto"/>
        </w:rPr>
      </w:pPr>
      <w:r>
        <w:rPr>
          <w:rFonts w:ascii="Calibri" w:cs="Calibri" w:eastAsia="Calibri" w:hAnsi="Calibri"/>
          <w:sz w:val="14"/>
          <w:szCs w:val="14"/>
          <w:b w:val="1"/>
          <w:bCs w:val="1"/>
          <w:color w:val="auto"/>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01535" cy="32385"/>
                    </a:xfrm>
                    <a:prstGeom prst="rect">
                      <a:avLst/>
                    </a:prstGeom>
                    <a:noFill/>
                  </pic:spPr>
                </pic:pic>
              </a:graphicData>
            </a:graphic>
          </wp:anchor>
        </w:drawing>
        <w:t>WHERE YOU CAN FIND MORE INFORMATION</w:t>
      </w:r>
    </w:p>
    <w:p>
      <w:pPr>
        <w:spacing w:after="0" w:line="169" w:lineRule="exact"/>
        <w:rPr>
          <w:sz w:val="20"/>
          <w:szCs w:val="20"/>
          <w:color w:val="auto"/>
        </w:rPr>
      </w:pPr>
    </w:p>
    <w:p>
      <w:pPr>
        <w:ind w:left="220" w:right="279"/>
        <w:spacing w:after="0" w:line="235" w:lineRule="auto"/>
        <w:rPr>
          <w:sz w:val="20"/>
          <w:szCs w:val="20"/>
          <w:color w:val="auto"/>
        </w:rPr>
      </w:pPr>
      <w:r>
        <w:rPr>
          <w:rFonts w:ascii="Calibri" w:cs="Calibri" w:eastAsia="Calibri" w:hAnsi="Calibri"/>
          <w:sz w:val="14"/>
          <w:szCs w:val="14"/>
          <w:color w:val="auto"/>
        </w:rPr>
        <w:t>Because we are subject to the informaton and reportng requirements of the Exchange Act, we fle annual, quarterly and current reports, proxy statements and other informaton with the SEC. Our SEC flings are available to the public over the Internet at the SEC’s website at www.sec.gov. We also maintain a website at www.enliventherapeutcs.com where these materials are available. You may access these materials free of charge as soon as reasonably practcable afer they are electronically fled with, or furnished to, the SEC. Informaton contained on or accessible through our website is not a part of this prospectus supplement and is not incorporated by reference herein, and the inclusion of our website address in this prospectus supplement is an inactve textual reference only.</w:t>
      </w:r>
    </w:p>
    <w:p>
      <w:pPr>
        <w:spacing w:after="0" w:line="172" w:lineRule="exact"/>
        <w:rPr>
          <w:sz w:val="20"/>
          <w:szCs w:val="20"/>
          <w:color w:val="auto"/>
        </w:rPr>
      </w:pPr>
    </w:p>
    <w:p>
      <w:pPr>
        <w:ind w:left="220" w:right="299"/>
        <w:spacing w:after="0" w:line="235" w:lineRule="auto"/>
        <w:rPr>
          <w:sz w:val="20"/>
          <w:szCs w:val="20"/>
          <w:color w:val="auto"/>
        </w:rPr>
      </w:pPr>
      <w:r>
        <w:rPr>
          <w:rFonts w:ascii="Calibri" w:cs="Calibri" w:eastAsia="Calibri" w:hAnsi="Calibri"/>
          <w:sz w:val="14"/>
          <w:szCs w:val="14"/>
          <w:color w:val="auto"/>
        </w:rPr>
        <w:t>This prospectus supplement and the accompanying prospectus are part of a registraton statement that we fled with the SEC and do not contain all of the informaton in the registraton statement. The full registraton statement may be obtained from the SEC or us, as provided below. The form of pre-funded warrant and other documents establishing the terms of the ofered securites are or may be fled as exhibits to the registraton statement. Statements in this prospectus supplement or the accompanying prospectus about these documents are summaries and each statement is qualifed in all respects by reference to the document to which it refers. You should refer to the actual documents for a more complete descripton of the relevant maters. You may inspect a copy of the registraton statement through the SEC’s website, as provided above.</w:t>
      </w:r>
    </w:p>
    <w:p>
      <w:pPr>
        <w:spacing w:after="0" w:line="116" w:lineRule="exact"/>
        <w:rPr>
          <w:sz w:val="20"/>
          <w:szCs w:val="20"/>
          <w:color w:val="auto"/>
        </w:rPr>
      </w:pPr>
    </w:p>
    <w:p>
      <w:pPr>
        <w:jc w:val="center"/>
        <w:ind w:right="19"/>
        <w:spacing w:after="0"/>
        <w:rPr>
          <w:sz w:val="20"/>
          <w:szCs w:val="20"/>
          <w:color w:val="auto"/>
        </w:rPr>
      </w:pPr>
      <w:r>
        <w:rPr>
          <w:rFonts w:ascii="Calibri" w:cs="Calibri" w:eastAsia="Calibri" w:hAnsi="Calibri"/>
          <w:sz w:val="14"/>
          <w:szCs w:val="14"/>
          <w:color w:val="auto"/>
        </w:rPr>
        <w:t>S-37</w:t>
      </w:r>
    </w:p>
    <w:p>
      <w:pPr>
        <w:sectPr>
          <w:pgSz w:w="11900" w:h="16838" w:orient="portrait"/>
          <w:cols w:equalWidth="0" w:num="1">
            <w:col w:w="9019"/>
          </w:cols>
          <w:pgMar w:left="1440" w:top="234" w:right="1440" w:bottom="1440" w:gutter="0" w:footer="0" w:header="0"/>
        </w:sectPr>
      </w:pPr>
    </w:p>
    <w:bookmarkStart w:id="39" w:name="page40"/>
    <w:bookmarkEnd w:id="39"/>
    <w:p>
      <w:pPr>
        <w:jc w:val="center"/>
        <w:spacing w:after="0"/>
        <w:rPr>
          <w:sz w:val="20"/>
          <w:szCs w:val="20"/>
          <w:color w:val="auto"/>
        </w:rPr>
      </w:pPr>
      <w:r>
        <w:rPr>
          <w:rFonts w:ascii="Calibri" w:cs="Calibri" w:eastAsia="Calibri" w:hAnsi="Calibri"/>
          <w:sz w:val="14"/>
          <w:szCs w:val="14"/>
          <w:b w:val="1"/>
          <w:bCs w:val="1"/>
          <w:color w:val="auto"/>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01535" cy="33020"/>
                    </a:xfrm>
                    <a:prstGeom prst="rect">
                      <a:avLst/>
                    </a:prstGeom>
                    <a:noFill/>
                  </pic:spPr>
                </pic:pic>
              </a:graphicData>
            </a:graphic>
          </wp:anchor>
        </w:drawing>
        <w:t>INCORPORATION OF CERTAIN INFORMATION BY REFERENCE</w:t>
      </w:r>
    </w:p>
    <w:p>
      <w:pPr>
        <w:spacing w:after="0" w:line="169" w:lineRule="exact"/>
        <w:rPr>
          <w:sz w:val="20"/>
          <w:szCs w:val="20"/>
          <w:color w:val="auto"/>
        </w:rPr>
      </w:pPr>
    </w:p>
    <w:p>
      <w:pPr>
        <w:ind w:left="220" w:right="259"/>
        <w:spacing w:after="0" w:line="255" w:lineRule="auto"/>
        <w:rPr>
          <w:sz w:val="20"/>
          <w:szCs w:val="20"/>
          <w:color w:val="auto"/>
        </w:rPr>
      </w:pPr>
      <w:r>
        <w:rPr>
          <w:rFonts w:ascii="Calibri" w:cs="Calibri" w:eastAsia="Calibri" w:hAnsi="Calibri"/>
          <w:sz w:val="13"/>
          <w:szCs w:val="13"/>
          <w:color w:val="auto"/>
        </w:rPr>
        <w:t>The SEC allows us to incorporate by reference much of the informaton that we fle with the SEC, which means that we can disclose important informaton to you by referring you to those publicly available documents. The informaton that we incorporate by reference in this prospectus supplement is considered to be part of this prospectus supplement. Because we are incorporatng by reference future flings with the SEC, this prospectus supplement is contnually updated and those future flings may modify or supersede some of the informaton included or incorporated by reference in this prospectus supplement. This means that you must look at all of the SEC flings that we incorporate by reference to determine if any of the statements in this prospectus supplement or in any document previously incorporated by reference have been modifed or superseded. This prospectus supplement incorporates by reference the documents listed below and any future flings we make with the SEC under Sectons 13(a), 13(c), 14 or 15(d) of the Exchange Act (in each case, other than those documents or the portons of those documents furnished pursuant to Items 2.02 or 7.01 of any Current Report on Form 8-K and, except as may be noted in any such Form 8-K, exhibits fled on such form that are related to such informaton), untl the ofering of the securites under the registraton statement of which this prospectus supplement forms a part is terminated or completed:</w:t>
      </w:r>
    </w:p>
    <w:p>
      <w:pPr>
        <w:spacing w:after="0" w:line="85" w:lineRule="exact"/>
        <w:rPr>
          <w:sz w:val="20"/>
          <w:szCs w:val="20"/>
          <w:color w:val="auto"/>
        </w:rPr>
      </w:pPr>
    </w:p>
    <w:p>
      <w:pPr>
        <w:ind w:left="980" w:hanging="341"/>
        <w:spacing w:after="0"/>
        <w:tabs>
          <w:tab w:leader="none" w:pos="980" w:val="left"/>
        </w:tabs>
        <w:numPr>
          <w:ilvl w:val="0"/>
          <w:numId w:val="24"/>
        </w:numPr>
        <w:rPr>
          <w:rFonts w:ascii="Calibri" w:cs="Calibri" w:eastAsia="Calibri" w:hAnsi="Calibri"/>
          <w:sz w:val="14"/>
          <w:szCs w:val="14"/>
          <w:color w:val="auto"/>
        </w:rPr>
      </w:pPr>
      <w:r>
        <w:rPr>
          <w:rFonts w:ascii="Calibri" w:cs="Calibri" w:eastAsia="Calibri" w:hAnsi="Calibri"/>
          <w:sz w:val="14"/>
          <w:szCs w:val="14"/>
          <w:color w:val="auto"/>
        </w:rPr>
        <w:t xml:space="preserve">our Annual Report on Form 10-K for the year ended December 31, 2025, as fled with the SEC on </w:t>
      </w:r>
      <w:hyperlink r:id="rId55">
        <w:r>
          <w:rPr>
            <w:rFonts w:ascii="Calibri" w:cs="Calibri" w:eastAsia="Calibri" w:hAnsi="Calibri"/>
            <w:sz w:val="14"/>
            <w:szCs w:val="14"/>
            <w:u w:val="single" w:color="auto"/>
            <w:color w:val="0000EE"/>
          </w:rPr>
          <w:t>March 3, 2026</w:t>
        </w:r>
      </w:hyperlink>
      <w:r>
        <w:rPr>
          <w:rFonts w:ascii="Calibri" w:cs="Calibri" w:eastAsia="Calibri" w:hAnsi="Calibri"/>
          <w:sz w:val="14"/>
          <w:szCs w:val="14"/>
          <w:color w:val="auto"/>
        </w:rPr>
        <w:t>;</w:t>
      </w:r>
    </w:p>
    <w:p>
      <w:pPr>
        <w:spacing w:after="0" w:line="91" w:lineRule="exact"/>
        <w:rPr>
          <w:rFonts w:ascii="Calibri" w:cs="Calibri" w:eastAsia="Calibri" w:hAnsi="Calibri"/>
          <w:sz w:val="14"/>
          <w:szCs w:val="14"/>
          <w:color w:val="auto"/>
        </w:rPr>
      </w:pPr>
    </w:p>
    <w:p>
      <w:pPr>
        <w:ind w:left="980" w:hanging="341"/>
        <w:spacing w:after="0"/>
        <w:tabs>
          <w:tab w:leader="none" w:pos="980" w:val="left"/>
        </w:tabs>
        <w:numPr>
          <w:ilvl w:val="0"/>
          <w:numId w:val="24"/>
        </w:numPr>
        <w:rPr>
          <w:rFonts w:ascii="Calibri" w:cs="Calibri" w:eastAsia="Calibri" w:hAnsi="Calibri"/>
          <w:sz w:val="14"/>
          <w:szCs w:val="14"/>
          <w:color w:val="auto"/>
        </w:rPr>
      </w:pPr>
      <w:r>
        <w:rPr>
          <w:rFonts w:ascii="Calibri" w:cs="Calibri" w:eastAsia="Calibri" w:hAnsi="Calibri"/>
          <w:sz w:val="14"/>
          <w:szCs w:val="14"/>
          <w:color w:val="auto"/>
        </w:rPr>
        <w:t xml:space="preserve">our Quarterly Report on Form 10-Q for the quarter ended March 31, 2026, as fled with the SEC on </w:t>
      </w:r>
      <w:hyperlink r:id="rId56">
        <w:r>
          <w:rPr>
            <w:rFonts w:ascii="Calibri" w:cs="Calibri" w:eastAsia="Calibri" w:hAnsi="Calibri"/>
            <w:sz w:val="14"/>
            <w:szCs w:val="14"/>
            <w:u w:val="single" w:color="auto"/>
            <w:color w:val="0000EE"/>
          </w:rPr>
          <w:t>May 7, 2026</w:t>
        </w:r>
      </w:hyperlink>
      <w:r>
        <w:rPr>
          <w:rFonts w:ascii="Calibri" w:cs="Calibri" w:eastAsia="Calibri" w:hAnsi="Calibri"/>
          <w:sz w:val="14"/>
          <w:szCs w:val="14"/>
          <w:color w:val="auto"/>
        </w:rPr>
        <w:t>;</w:t>
      </w:r>
    </w:p>
    <w:p>
      <w:pPr>
        <w:spacing w:after="0" w:line="91" w:lineRule="exact"/>
        <w:rPr>
          <w:rFonts w:ascii="Calibri" w:cs="Calibri" w:eastAsia="Calibri" w:hAnsi="Calibri"/>
          <w:sz w:val="14"/>
          <w:szCs w:val="14"/>
          <w:color w:val="auto"/>
        </w:rPr>
      </w:pPr>
    </w:p>
    <w:p>
      <w:pPr>
        <w:ind w:left="980" w:hanging="341"/>
        <w:spacing w:after="0"/>
        <w:tabs>
          <w:tab w:leader="none" w:pos="980" w:val="left"/>
        </w:tabs>
        <w:numPr>
          <w:ilvl w:val="0"/>
          <w:numId w:val="24"/>
        </w:numPr>
        <w:rPr>
          <w:rFonts w:ascii="Calibri" w:cs="Calibri" w:eastAsia="Calibri" w:hAnsi="Calibri"/>
          <w:sz w:val="14"/>
          <w:szCs w:val="14"/>
          <w:color w:val="auto"/>
        </w:rPr>
      </w:pPr>
      <w:r>
        <w:rPr>
          <w:rFonts w:ascii="Calibri" w:cs="Calibri" w:eastAsia="Calibri" w:hAnsi="Calibri"/>
          <w:sz w:val="14"/>
          <w:szCs w:val="14"/>
          <w:color w:val="auto"/>
        </w:rPr>
        <w:t xml:space="preserve">our Defnitve Proxy Statement on Schedule 14A, as fled with the SEC on </w:t>
      </w:r>
      <w:hyperlink r:id="rId57">
        <w:r>
          <w:rPr>
            <w:rFonts w:ascii="Calibri" w:cs="Calibri" w:eastAsia="Calibri" w:hAnsi="Calibri"/>
            <w:sz w:val="14"/>
            <w:szCs w:val="14"/>
            <w:u w:val="single" w:color="auto"/>
            <w:color w:val="0000EE"/>
          </w:rPr>
          <w:t>April 27, 2026</w:t>
        </w:r>
      </w:hyperlink>
      <w:r>
        <w:rPr>
          <w:rFonts w:ascii="Calibri" w:cs="Calibri" w:eastAsia="Calibri" w:hAnsi="Calibri"/>
          <w:sz w:val="14"/>
          <w:szCs w:val="14"/>
          <w:color w:val="auto"/>
        </w:rPr>
        <w:t>;</w:t>
      </w:r>
    </w:p>
    <w:p>
      <w:pPr>
        <w:spacing w:after="0" w:line="95" w:lineRule="exact"/>
        <w:rPr>
          <w:rFonts w:ascii="Calibri" w:cs="Calibri" w:eastAsia="Calibri" w:hAnsi="Calibri"/>
          <w:sz w:val="14"/>
          <w:szCs w:val="14"/>
          <w:color w:val="auto"/>
        </w:rPr>
      </w:pPr>
    </w:p>
    <w:p>
      <w:pPr>
        <w:ind w:left="980" w:right="379" w:hanging="341"/>
        <w:spacing w:after="0" w:line="235" w:lineRule="auto"/>
        <w:tabs>
          <w:tab w:leader="none" w:pos="980" w:val="left"/>
        </w:tabs>
        <w:numPr>
          <w:ilvl w:val="0"/>
          <w:numId w:val="24"/>
        </w:numPr>
        <w:rPr>
          <w:rFonts w:ascii="Calibri" w:cs="Calibri" w:eastAsia="Calibri" w:hAnsi="Calibri"/>
          <w:sz w:val="14"/>
          <w:szCs w:val="14"/>
          <w:color w:val="auto"/>
        </w:rPr>
      </w:pPr>
      <w:r>
        <w:rPr>
          <w:rFonts w:ascii="Calibri" w:cs="Calibri" w:eastAsia="Calibri" w:hAnsi="Calibri"/>
          <w:sz w:val="14"/>
          <w:szCs w:val="14"/>
          <w:color w:val="auto"/>
        </w:rPr>
        <w:t xml:space="preserve">our Current Reports on Form 8-K (other than informaton furnished rather than fled) fled with the SEC on </w:t>
      </w:r>
      <w:hyperlink r:id="rId58">
        <w:r>
          <w:rPr>
            <w:rFonts w:ascii="Calibri" w:cs="Calibri" w:eastAsia="Calibri" w:hAnsi="Calibri"/>
            <w:sz w:val="14"/>
            <w:szCs w:val="14"/>
            <w:u w:val="single" w:color="auto"/>
            <w:color w:val="0000EE"/>
          </w:rPr>
          <w:t>January 7, 2026</w:t>
        </w:r>
      </w:hyperlink>
      <w:r>
        <w:rPr>
          <w:rFonts w:ascii="Calibri" w:cs="Calibri" w:eastAsia="Calibri" w:hAnsi="Calibri"/>
          <w:sz w:val="14"/>
          <w:szCs w:val="14"/>
          <w:color w:val="auto"/>
        </w:rPr>
        <w:t xml:space="preserve">, </w:t>
      </w:r>
      <w:hyperlink r:id="rId59">
        <w:r>
          <w:rPr>
            <w:rFonts w:ascii="Calibri" w:cs="Calibri" w:eastAsia="Calibri" w:hAnsi="Calibri"/>
            <w:sz w:val="14"/>
            <w:szCs w:val="14"/>
            <w:u w:val="single" w:color="auto"/>
            <w:color w:val="0000EE"/>
          </w:rPr>
          <w:t>June 10, 2026</w:t>
        </w:r>
      </w:hyperlink>
      <w:r>
        <w:rPr>
          <w:rFonts w:ascii="Calibri" w:cs="Calibri" w:eastAsia="Calibri" w:hAnsi="Calibri"/>
          <w:sz w:val="14"/>
          <w:szCs w:val="14"/>
          <w:color w:val="auto"/>
        </w:rPr>
        <w:t xml:space="preserve"> and </w:t>
      </w:r>
      <w:hyperlink r:id="rId60">
        <w:r>
          <w:rPr>
            <w:rFonts w:ascii="Calibri" w:cs="Calibri" w:eastAsia="Calibri" w:hAnsi="Calibri"/>
            <w:sz w:val="14"/>
            <w:szCs w:val="14"/>
            <w:u w:val="single" w:color="auto"/>
            <w:color w:val="0000EE"/>
          </w:rPr>
          <w:t>June 11, 2026</w:t>
        </w:r>
      </w:hyperlink>
      <w:r>
        <w:rPr>
          <w:rFonts w:ascii="Calibri" w:cs="Calibri" w:eastAsia="Calibri" w:hAnsi="Calibri"/>
          <w:sz w:val="14"/>
          <w:szCs w:val="14"/>
          <w:color w:val="auto"/>
        </w:rPr>
        <w:t>; and</w:t>
      </w:r>
    </w:p>
    <w:p>
      <w:pPr>
        <w:spacing w:after="0" w:line="95" w:lineRule="exact"/>
        <w:rPr>
          <w:rFonts w:ascii="Calibri" w:cs="Calibri" w:eastAsia="Calibri" w:hAnsi="Calibri"/>
          <w:sz w:val="14"/>
          <w:szCs w:val="14"/>
          <w:color w:val="auto"/>
        </w:rPr>
      </w:pPr>
    </w:p>
    <w:p>
      <w:pPr>
        <w:ind w:left="980" w:right="659" w:hanging="341"/>
        <w:spacing w:after="0" w:line="235" w:lineRule="auto"/>
        <w:tabs>
          <w:tab w:leader="none" w:pos="980" w:val="left"/>
        </w:tabs>
        <w:numPr>
          <w:ilvl w:val="0"/>
          <w:numId w:val="24"/>
        </w:numPr>
        <w:rPr>
          <w:rFonts w:ascii="Calibri" w:cs="Calibri" w:eastAsia="Calibri" w:hAnsi="Calibri"/>
          <w:sz w:val="14"/>
          <w:szCs w:val="14"/>
          <w:color w:val="auto"/>
        </w:rPr>
      </w:pPr>
      <w:r>
        <w:rPr>
          <w:rFonts w:ascii="Calibri" w:cs="Calibri" w:eastAsia="Calibri" w:hAnsi="Calibri"/>
          <w:sz w:val="14"/>
          <w:szCs w:val="14"/>
          <w:color w:val="auto"/>
        </w:rPr>
        <w:t xml:space="preserve">the descripton of our common stock contained in the Registraton Statement on Form 8-A relatng thereto, as fled on </w:t>
      </w:r>
      <w:hyperlink r:id="rId61">
        <w:r>
          <w:rPr>
            <w:rFonts w:ascii="Calibri" w:cs="Calibri" w:eastAsia="Calibri" w:hAnsi="Calibri"/>
            <w:sz w:val="14"/>
            <w:szCs w:val="14"/>
            <w:u w:val="single" w:color="auto"/>
            <w:color w:val="0000EE"/>
          </w:rPr>
          <w:t>March 9, 2020</w:t>
        </w:r>
      </w:hyperlink>
      <w:r>
        <w:rPr>
          <w:rFonts w:ascii="Calibri" w:cs="Calibri" w:eastAsia="Calibri" w:hAnsi="Calibri"/>
          <w:sz w:val="14"/>
          <w:szCs w:val="14"/>
          <w:color w:val="auto"/>
        </w:rPr>
        <w:t>, including any amendment or report fled for the purpose of updatng such descripton.</w:t>
      </w:r>
    </w:p>
    <w:p>
      <w:pPr>
        <w:spacing w:after="0" w:line="169" w:lineRule="exact"/>
        <w:rPr>
          <w:rFonts w:ascii="Calibri" w:cs="Calibri" w:eastAsia="Calibri" w:hAnsi="Calibri"/>
          <w:sz w:val="14"/>
          <w:szCs w:val="14"/>
          <w:color w:val="auto"/>
        </w:rPr>
      </w:pPr>
    </w:p>
    <w:p>
      <w:pPr>
        <w:ind w:left="220" w:right="239"/>
        <w:spacing w:after="0" w:line="235" w:lineRule="auto"/>
        <w:rPr>
          <w:sz w:val="20"/>
          <w:szCs w:val="20"/>
          <w:color w:val="auto"/>
        </w:rPr>
      </w:pPr>
      <w:r>
        <w:rPr>
          <w:rFonts w:ascii="Calibri" w:cs="Calibri" w:eastAsia="Calibri" w:hAnsi="Calibri"/>
          <w:sz w:val="14"/>
          <w:szCs w:val="14"/>
          <w:color w:val="auto"/>
        </w:rPr>
        <w:t>Any documents we fle with the SEC pursuant to Secton 13(a), 13(c), 14 or 15(d) of the Exchange Act afer the date of this prospectus supplement and prior to the terminaton of the ofering of our securites to which this prospectus supplement relates will automatcally be deemed to be incorporated by reference into this prospectus supplement and to be part hereof from the date of fling those documents. We are not, however, incorporatng by reference any documents or portons thereof that are not deemed “fled” with the SEC, including any informaton furnished pursuant to Item 2.02 or Item 7.01 of Form 8-K or related exhibits furnished pursuant to Item 9.01 of Form 8-K. Any statements in any such future flings will automatcally be deemed to modify and supersede any informaton in any document we previously fled with the SEC that is incorporated or deemed to be incorporated herein by reference to the extent that statements in the later fled document modify or replace such earlier statements.</w:t>
      </w:r>
    </w:p>
    <w:p>
      <w:pPr>
        <w:spacing w:after="0" w:line="173" w:lineRule="exact"/>
        <w:rPr>
          <w:rFonts w:ascii="Calibri" w:cs="Calibri" w:eastAsia="Calibri" w:hAnsi="Calibri"/>
          <w:sz w:val="14"/>
          <w:szCs w:val="14"/>
          <w:color w:val="auto"/>
        </w:rPr>
      </w:pPr>
    </w:p>
    <w:p>
      <w:pPr>
        <w:ind w:left="220" w:right="259"/>
        <w:spacing w:after="0" w:line="235" w:lineRule="auto"/>
        <w:rPr>
          <w:sz w:val="20"/>
          <w:szCs w:val="20"/>
          <w:color w:val="auto"/>
        </w:rPr>
      </w:pPr>
      <w:r>
        <w:rPr>
          <w:rFonts w:ascii="Calibri" w:cs="Calibri" w:eastAsia="Calibri" w:hAnsi="Calibri"/>
          <w:sz w:val="14"/>
          <w:szCs w:val="14"/>
          <w:color w:val="auto"/>
        </w:rPr>
        <w:t>Each person, including any benefcial owner, to whom a prospectus is delivered, can request a copy of these flings, at no cost, by writng or telephoning us at the following address or telephone number:</w:t>
      </w:r>
    </w:p>
    <w:p>
      <w:pPr>
        <w:spacing w:after="0" w:line="82" w:lineRule="exact"/>
        <w:rPr>
          <w:rFonts w:ascii="Calibri" w:cs="Calibri" w:eastAsia="Calibri" w:hAnsi="Calibri"/>
          <w:sz w:val="14"/>
          <w:szCs w:val="14"/>
          <w:color w:val="auto"/>
        </w:rPr>
      </w:pPr>
    </w:p>
    <w:p>
      <w:pPr>
        <w:jc w:val="center"/>
        <w:spacing w:after="0"/>
        <w:rPr>
          <w:sz w:val="20"/>
          <w:szCs w:val="20"/>
          <w:color w:val="auto"/>
        </w:rPr>
      </w:pPr>
      <w:r>
        <w:rPr>
          <w:rFonts w:ascii="Calibri" w:cs="Calibri" w:eastAsia="Calibri" w:hAnsi="Calibri"/>
          <w:sz w:val="14"/>
          <w:szCs w:val="14"/>
          <w:color w:val="auto"/>
        </w:rPr>
        <w:t>Enliven Therapeutcs, Inc.</w:t>
      </w:r>
    </w:p>
    <w:p>
      <w:pPr>
        <w:jc w:val="center"/>
        <w:spacing w:after="0" w:line="235" w:lineRule="auto"/>
        <w:rPr>
          <w:sz w:val="20"/>
          <w:szCs w:val="20"/>
          <w:color w:val="auto"/>
        </w:rPr>
      </w:pPr>
      <w:r>
        <w:rPr>
          <w:rFonts w:ascii="Calibri" w:cs="Calibri" w:eastAsia="Calibri" w:hAnsi="Calibri"/>
          <w:sz w:val="14"/>
          <w:szCs w:val="14"/>
          <w:color w:val="auto"/>
        </w:rPr>
        <w:t>205 Park Road</w:t>
      </w:r>
    </w:p>
    <w:p>
      <w:pPr>
        <w:jc w:val="center"/>
        <w:spacing w:after="0" w:line="236" w:lineRule="auto"/>
        <w:rPr>
          <w:sz w:val="20"/>
          <w:szCs w:val="20"/>
          <w:color w:val="auto"/>
        </w:rPr>
      </w:pPr>
      <w:r>
        <w:rPr>
          <w:rFonts w:ascii="Calibri" w:cs="Calibri" w:eastAsia="Calibri" w:hAnsi="Calibri"/>
          <w:sz w:val="14"/>
          <w:szCs w:val="14"/>
          <w:color w:val="auto"/>
        </w:rPr>
        <w:t>Burlingame, California 94010</w:t>
      </w:r>
    </w:p>
    <w:p>
      <w:pPr>
        <w:jc w:val="center"/>
        <w:spacing w:after="0" w:line="236" w:lineRule="auto"/>
        <w:rPr>
          <w:sz w:val="20"/>
          <w:szCs w:val="20"/>
          <w:color w:val="auto"/>
        </w:rPr>
      </w:pPr>
      <w:r>
        <w:rPr>
          <w:rFonts w:ascii="Calibri" w:cs="Calibri" w:eastAsia="Calibri" w:hAnsi="Calibri"/>
          <w:sz w:val="14"/>
          <w:szCs w:val="14"/>
          <w:color w:val="auto"/>
        </w:rPr>
        <w:t>Atn: Investor Relatons</w:t>
      </w:r>
    </w:p>
    <w:p>
      <w:pPr>
        <w:jc w:val="center"/>
        <w:spacing w:after="0" w:line="236" w:lineRule="auto"/>
        <w:rPr>
          <w:sz w:val="20"/>
          <w:szCs w:val="20"/>
          <w:color w:val="auto"/>
        </w:rPr>
      </w:pPr>
      <w:r>
        <w:rPr>
          <w:rFonts w:ascii="Calibri" w:cs="Calibri" w:eastAsia="Calibri" w:hAnsi="Calibri"/>
          <w:sz w:val="14"/>
          <w:szCs w:val="14"/>
          <w:color w:val="auto"/>
        </w:rPr>
        <w:t>650-547-5814</w:t>
      </w:r>
    </w:p>
    <w:p>
      <w:pPr>
        <w:spacing w:after="0" w:line="170" w:lineRule="exact"/>
        <w:rPr>
          <w:rFonts w:ascii="Calibri" w:cs="Calibri" w:eastAsia="Calibri" w:hAnsi="Calibri"/>
          <w:sz w:val="14"/>
          <w:szCs w:val="14"/>
          <w:color w:val="auto"/>
        </w:rPr>
      </w:pPr>
    </w:p>
    <w:p>
      <w:pPr>
        <w:ind w:left="220" w:right="299"/>
        <w:spacing w:after="0" w:line="235" w:lineRule="auto"/>
        <w:rPr>
          <w:sz w:val="20"/>
          <w:szCs w:val="20"/>
          <w:color w:val="auto"/>
        </w:rPr>
      </w:pPr>
      <w:r>
        <w:rPr>
          <w:rFonts w:ascii="Calibri" w:cs="Calibri" w:eastAsia="Calibri" w:hAnsi="Calibri"/>
          <w:sz w:val="14"/>
          <w:szCs w:val="14"/>
          <w:b w:val="1"/>
          <w:bCs w:val="1"/>
          <w:color w:val="auto"/>
        </w:rPr>
        <w:t>The informaton accessible through any website referred to in this prospectus supplement or any document incorporated herein is not, and should not be deemed to be, a part of this prospectus supplement.</w:t>
      </w:r>
    </w:p>
    <w:p>
      <w:pPr>
        <w:spacing w:after="0" w:line="113" w:lineRule="exact"/>
        <w:rPr>
          <w:rFonts w:ascii="Calibri" w:cs="Calibri" w:eastAsia="Calibri" w:hAnsi="Calibri"/>
          <w:sz w:val="14"/>
          <w:szCs w:val="14"/>
          <w:color w:val="auto"/>
        </w:rPr>
      </w:pPr>
    </w:p>
    <w:p>
      <w:pPr>
        <w:jc w:val="center"/>
        <w:spacing w:after="0"/>
        <w:rPr>
          <w:sz w:val="20"/>
          <w:szCs w:val="20"/>
          <w:color w:val="auto"/>
        </w:rPr>
      </w:pPr>
      <w:r>
        <w:rPr>
          <w:rFonts w:ascii="Calibri" w:cs="Calibri" w:eastAsia="Calibri" w:hAnsi="Calibri"/>
          <w:sz w:val="14"/>
          <w:szCs w:val="14"/>
          <w:color w:val="auto"/>
        </w:rPr>
        <w:t>S-38</w:t>
      </w:r>
    </w:p>
    <w:p>
      <w:pPr>
        <w:sectPr>
          <w:pgSz w:w="11900" w:h="16838" w:orient="portrait"/>
          <w:cols w:equalWidth="0" w:num="1">
            <w:col w:w="9019"/>
          </w:cols>
          <w:pgMar w:left="1440" w:top="234" w:right="1440" w:bottom="1440" w:gutter="0" w:footer="0" w:header="0"/>
        </w:sectPr>
      </w:pPr>
    </w:p>
    <w:bookmarkStart w:id="40" w:name="page41"/>
    <w:bookmarkEnd w:id="40"/>
    <w:p>
      <w:pPr>
        <w:ind w:left="220"/>
        <w:spacing w:after="0"/>
        <w:rPr>
          <w:sz w:val="20"/>
          <w:szCs w:val="20"/>
          <w:color w:val="auto"/>
        </w:rPr>
      </w:pPr>
      <w:r>
        <w:rPr>
          <w:rFonts w:ascii="Calibri" w:cs="Calibri" w:eastAsia="Calibri" w:hAnsi="Calibri"/>
          <w:sz w:val="14"/>
          <w:szCs w:val="14"/>
          <w:b w:val="1"/>
          <w:bCs w:val="1"/>
          <w:color w:val="auto"/>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62">
                      <a:extLst>
                        <a:ext uri="{28A0092B-C50C-407E-A947-70E740481C1C}"/>
                      </a:extLst>
                    </a:blip>
                    <a:srcRect/>
                    <a:stretch>
                      <a:fillRect/>
                    </a:stretch>
                  </pic:blipFill>
                  <pic:spPr bwMode="auto">
                    <a:xfrm>
                      <a:off x="0" y="0"/>
                      <a:ext cx="7201535" cy="33020"/>
                    </a:xfrm>
                    <a:prstGeom prst="rect">
                      <a:avLst/>
                    </a:prstGeom>
                    <a:noFill/>
                  </pic:spPr>
                </pic:pic>
              </a:graphicData>
            </a:graphic>
          </wp:anchor>
        </w:drawing>
        <w:t>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2233295</wp:posOffset>
            </wp:positionH>
            <wp:positionV relativeFrom="paragraph">
              <wp:posOffset>132080</wp:posOffset>
            </wp:positionV>
            <wp:extent cx="1260475" cy="66040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63">
                      <a:extLst>
                        <a:ext uri="{28A0092B-C50C-407E-A947-70E740481C1C}"/>
                      </a:extLst>
                    </a:blip>
                    <a:srcRect/>
                    <a:stretch>
                      <a:fillRect/>
                    </a:stretch>
                  </pic:blipFill>
                  <pic:spPr bwMode="auto">
                    <a:xfrm>
                      <a:off x="0" y="0"/>
                      <a:ext cx="1260475" cy="6604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ind w:right="19"/>
        <w:spacing w:after="0"/>
        <w:rPr>
          <w:sz w:val="20"/>
          <w:szCs w:val="20"/>
          <w:color w:val="auto"/>
        </w:rPr>
      </w:pPr>
      <w:r>
        <w:rPr>
          <w:rFonts w:ascii="Calibri" w:cs="Calibri" w:eastAsia="Calibri" w:hAnsi="Calibri"/>
          <w:sz w:val="20"/>
          <w:szCs w:val="20"/>
          <w:b w:val="1"/>
          <w:bCs w:val="1"/>
          <w:color w:val="auto"/>
        </w:rPr>
        <w:t>Common Stock</w:t>
      </w:r>
    </w:p>
    <w:p>
      <w:pPr>
        <w:jc w:val="center"/>
        <w:ind w:right="19"/>
        <w:spacing w:after="0" w:line="237" w:lineRule="auto"/>
        <w:rPr>
          <w:sz w:val="20"/>
          <w:szCs w:val="20"/>
          <w:color w:val="auto"/>
        </w:rPr>
      </w:pPr>
      <w:r>
        <w:rPr>
          <w:rFonts w:ascii="Calibri" w:cs="Calibri" w:eastAsia="Calibri" w:hAnsi="Calibri"/>
          <w:sz w:val="20"/>
          <w:szCs w:val="20"/>
          <w:b w:val="1"/>
          <w:bCs w:val="1"/>
          <w:color w:val="auto"/>
        </w:rPr>
        <w:t>Preferred Stock</w:t>
      </w:r>
    </w:p>
    <w:p>
      <w:pPr>
        <w:jc w:val="center"/>
        <w:ind w:right="19"/>
        <w:spacing w:after="0" w:line="237" w:lineRule="auto"/>
        <w:rPr>
          <w:sz w:val="20"/>
          <w:szCs w:val="20"/>
          <w:color w:val="auto"/>
        </w:rPr>
      </w:pPr>
      <w:r>
        <w:rPr>
          <w:rFonts w:ascii="Calibri" w:cs="Calibri" w:eastAsia="Calibri" w:hAnsi="Calibri"/>
          <w:sz w:val="20"/>
          <w:szCs w:val="20"/>
          <w:b w:val="1"/>
          <w:bCs w:val="1"/>
          <w:color w:val="auto"/>
        </w:rPr>
        <w:t>Debt Securites</w:t>
      </w:r>
    </w:p>
    <w:p>
      <w:pPr>
        <w:jc w:val="center"/>
        <w:ind w:right="19"/>
        <w:spacing w:after="0" w:line="238" w:lineRule="auto"/>
        <w:rPr>
          <w:sz w:val="20"/>
          <w:szCs w:val="20"/>
          <w:color w:val="auto"/>
        </w:rPr>
      </w:pPr>
      <w:r>
        <w:rPr>
          <w:rFonts w:ascii="Calibri" w:cs="Calibri" w:eastAsia="Calibri" w:hAnsi="Calibri"/>
          <w:sz w:val="20"/>
          <w:szCs w:val="20"/>
          <w:b w:val="1"/>
          <w:bCs w:val="1"/>
          <w:color w:val="auto"/>
        </w:rPr>
        <w:t>Depositary Shares</w:t>
      </w:r>
    </w:p>
    <w:p>
      <w:pPr>
        <w:jc w:val="center"/>
        <w:ind w:right="19"/>
        <w:spacing w:after="0" w:line="237" w:lineRule="auto"/>
        <w:rPr>
          <w:sz w:val="20"/>
          <w:szCs w:val="20"/>
          <w:color w:val="auto"/>
        </w:rPr>
      </w:pPr>
      <w:r>
        <w:rPr>
          <w:rFonts w:ascii="Calibri" w:cs="Calibri" w:eastAsia="Calibri" w:hAnsi="Calibri"/>
          <w:sz w:val="20"/>
          <w:szCs w:val="20"/>
          <w:b w:val="1"/>
          <w:bCs w:val="1"/>
          <w:color w:val="auto"/>
        </w:rPr>
        <w:t>Warrants</w:t>
      </w:r>
    </w:p>
    <w:p>
      <w:pPr>
        <w:jc w:val="center"/>
        <w:ind w:right="19"/>
        <w:spacing w:after="0" w:line="238" w:lineRule="auto"/>
        <w:rPr>
          <w:sz w:val="20"/>
          <w:szCs w:val="20"/>
          <w:color w:val="auto"/>
        </w:rPr>
      </w:pPr>
      <w:r>
        <w:rPr>
          <w:rFonts w:ascii="Calibri" w:cs="Calibri" w:eastAsia="Calibri" w:hAnsi="Calibri"/>
          <w:sz w:val="20"/>
          <w:szCs w:val="20"/>
          <w:b w:val="1"/>
          <w:bCs w:val="1"/>
          <w:color w:val="auto"/>
        </w:rPr>
        <w:t>Subscripton Rights</w:t>
      </w:r>
    </w:p>
    <w:p>
      <w:pPr>
        <w:jc w:val="center"/>
        <w:ind w:right="19"/>
        <w:spacing w:after="0" w:line="237" w:lineRule="auto"/>
        <w:rPr>
          <w:sz w:val="20"/>
          <w:szCs w:val="20"/>
          <w:color w:val="auto"/>
        </w:rPr>
      </w:pPr>
      <w:r>
        <w:rPr>
          <w:rFonts w:ascii="Calibri" w:cs="Calibri" w:eastAsia="Calibri" w:hAnsi="Calibri"/>
          <w:sz w:val="20"/>
          <w:szCs w:val="20"/>
          <w:b w:val="1"/>
          <w:bCs w:val="1"/>
          <w:color w:val="auto"/>
        </w:rPr>
        <w:t>Purchase Contracts</w:t>
      </w:r>
    </w:p>
    <w:p>
      <w:pPr>
        <w:jc w:val="center"/>
        <w:ind w:right="19"/>
        <w:spacing w:after="0" w:line="238" w:lineRule="auto"/>
        <w:rPr>
          <w:sz w:val="20"/>
          <w:szCs w:val="20"/>
          <w:color w:val="auto"/>
        </w:rPr>
      </w:pPr>
      <w:r>
        <w:rPr>
          <w:rFonts w:ascii="Calibri" w:cs="Calibri" w:eastAsia="Calibri" w:hAnsi="Calibri"/>
          <w:sz w:val="20"/>
          <w:szCs w:val="20"/>
          <w:b w:val="1"/>
          <w:bCs w:val="1"/>
          <w:color w:val="auto"/>
        </w:rPr>
        <w:t>Units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2286635</wp:posOffset>
            </wp:positionH>
            <wp:positionV relativeFrom="paragraph">
              <wp:posOffset>196215</wp:posOffset>
            </wp:positionV>
            <wp:extent cx="1146810" cy="698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64">
                      <a:extLst>
                        <a:ext uri="{28A0092B-C50C-407E-A947-70E740481C1C}"/>
                      </a:extLst>
                    </a:blip>
                    <a:srcRect/>
                    <a:stretch>
                      <a:fillRect/>
                    </a:stretch>
                  </pic:blipFill>
                  <pic:spPr bwMode="auto">
                    <a:xfrm>
                      <a:off x="0" y="0"/>
                      <a:ext cx="1146810" cy="6985"/>
                    </a:xfrm>
                    <a:prstGeom prst="rect">
                      <a:avLst/>
                    </a:prstGeom>
                    <a:noFill/>
                  </pic:spPr>
                </pic:pic>
              </a:graphicData>
            </a:graphic>
          </wp:anchor>
        </w:drawing>
      </w:r>
    </w:p>
    <w:p>
      <w:pPr>
        <w:spacing w:after="0" w:line="200" w:lineRule="exact"/>
        <w:rPr>
          <w:sz w:val="20"/>
          <w:szCs w:val="20"/>
          <w:color w:val="auto"/>
        </w:rPr>
      </w:pPr>
    </w:p>
    <w:p>
      <w:pPr>
        <w:spacing w:after="0" w:line="250" w:lineRule="exact"/>
        <w:rPr>
          <w:sz w:val="20"/>
          <w:szCs w:val="20"/>
          <w:color w:val="auto"/>
        </w:rPr>
      </w:pPr>
    </w:p>
    <w:p>
      <w:pPr>
        <w:ind w:left="220" w:right="319" w:firstLine="343"/>
        <w:spacing w:after="0" w:line="235" w:lineRule="auto"/>
        <w:rPr>
          <w:sz w:val="20"/>
          <w:szCs w:val="20"/>
          <w:color w:val="auto"/>
        </w:rPr>
      </w:pPr>
      <w:r>
        <w:rPr>
          <w:rFonts w:ascii="Calibri" w:cs="Calibri" w:eastAsia="Calibri" w:hAnsi="Calibri"/>
          <w:sz w:val="14"/>
          <w:szCs w:val="14"/>
          <w:color w:val="auto"/>
        </w:rPr>
        <w:t>We may issue securites from tme to tme in one or more oferings, in amounts, at prices and on terms determined at the tme of ofering. This prospectus describes the general terms of these securites and the general manner in which these securites will be ofered. We will provide the specifc terms of these securites in supplements to this prospectus, which will also describe the specifc manner in which these securites will be ofered and may also supplement, update or amend informaton contained in this prospectus. You should read this prospectus and any applicable prospectus supplement before you invest.</w:t>
      </w:r>
    </w:p>
    <w:p>
      <w:pPr>
        <w:spacing w:after="0" w:line="172" w:lineRule="exact"/>
        <w:rPr>
          <w:sz w:val="20"/>
          <w:szCs w:val="20"/>
          <w:color w:val="auto"/>
        </w:rPr>
      </w:pPr>
    </w:p>
    <w:p>
      <w:pPr>
        <w:ind w:left="220" w:right="219" w:firstLine="343"/>
        <w:spacing w:after="0" w:line="235" w:lineRule="auto"/>
        <w:rPr>
          <w:sz w:val="20"/>
          <w:szCs w:val="20"/>
          <w:color w:val="auto"/>
        </w:rPr>
      </w:pPr>
      <w:r>
        <w:rPr>
          <w:rFonts w:ascii="Calibri" w:cs="Calibri" w:eastAsia="Calibri" w:hAnsi="Calibri"/>
          <w:sz w:val="14"/>
          <w:szCs w:val="14"/>
          <w:color w:val="auto"/>
        </w:rPr>
        <w:t>The securites may be sold directly to you, through agents or through underwriters and dealers. If agents, underwriters or dealers are used to sell the securites, we will name them and describe their compensaton in a prospectus supplement. The price to the public of those securites and the net proceeds we expect to receive from that sale will also be set forth in a prospectus supplement.</w:t>
      </w:r>
    </w:p>
    <w:p>
      <w:pPr>
        <w:spacing w:after="0" w:line="166" w:lineRule="exact"/>
        <w:rPr>
          <w:sz w:val="20"/>
          <w:szCs w:val="20"/>
          <w:color w:val="auto"/>
        </w:rPr>
      </w:pPr>
    </w:p>
    <w:p>
      <w:pPr>
        <w:ind w:left="560"/>
        <w:spacing w:after="0"/>
        <w:rPr>
          <w:sz w:val="20"/>
          <w:szCs w:val="20"/>
          <w:color w:val="auto"/>
        </w:rPr>
      </w:pPr>
      <w:r>
        <w:rPr>
          <w:rFonts w:ascii="Calibri" w:cs="Calibri" w:eastAsia="Calibri" w:hAnsi="Calibri"/>
          <w:sz w:val="14"/>
          <w:szCs w:val="14"/>
          <w:color w:val="auto"/>
        </w:rPr>
        <w:t>Our common stock is listed on the Nasdaq Global Select Market under the symbol “ELVN”.</w:t>
      </w:r>
    </w:p>
    <w:p>
      <w:pPr>
        <w:spacing w:after="0" w:line="169" w:lineRule="exact"/>
        <w:rPr>
          <w:sz w:val="20"/>
          <w:szCs w:val="20"/>
          <w:color w:val="auto"/>
        </w:rPr>
      </w:pPr>
    </w:p>
    <w:p>
      <w:pPr>
        <w:jc w:val="both"/>
        <w:ind w:left="220" w:right="359" w:firstLine="343"/>
        <w:spacing w:after="0" w:line="235" w:lineRule="auto"/>
        <w:rPr>
          <w:sz w:val="20"/>
          <w:szCs w:val="20"/>
          <w:color w:val="auto"/>
        </w:rPr>
      </w:pPr>
      <w:r>
        <w:rPr>
          <w:rFonts w:ascii="Calibri" w:cs="Calibri" w:eastAsia="Calibri" w:hAnsi="Calibri"/>
          <w:sz w:val="14"/>
          <w:szCs w:val="14"/>
          <w:color w:val="auto"/>
        </w:rPr>
        <w:t>We are an “emerging growth company” as defned under the federal securites laws, and, as such, may elect to comply with certain reduced public company reportng requirements for this and future flings. We will provide informaton in any applicable prospectus supplement regarding any listng of securites other than shares of our common stock on any securites exchange.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2286635</wp:posOffset>
            </wp:positionH>
            <wp:positionV relativeFrom="paragraph">
              <wp:posOffset>186055</wp:posOffset>
            </wp:positionV>
            <wp:extent cx="1146810" cy="698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65">
                      <a:extLst>
                        <a:ext uri="{28A0092B-C50C-407E-A947-70E740481C1C}"/>
                      </a:extLst>
                    </a:blip>
                    <a:srcRect/>
                    <a:stretch>
                      <a:fillRect/>
                    </a:stretch>
                  </pic:blipFill>
                  <pic:spPr bwMode="auto">
                    <a:xfrm>
                      <a:off x="0" y="0"/>
                      <a:ext cx="1146810" cy="6985"/>
                    </a:xfrm>
                    <a:prstGeom prst="rect">
                      <a:avLst/>
                    </a:prstGeom>
                    <a:noFill/>
                  </pic:spPr>
                </pic:pic>
              </a:graphicData>
            </a:graphic>
          </wp:anchor>
        </w:drawing>
      </w:r>
    </w:p>
    <w:p>
      <w:pPr>
        <w:spacing w:after="0" w:line="200" w:lineRule="exact"/>
        <w:rPr>
          <w:sz w:val="20"/>
          <w:szCs w:val="20"/>
          <w:color w:val="auto"/>
        </w:rPr>
      </w:pPr>
    </w:p>
    <w:p>
      <w:pPr>
        <w:spacing w:after="0" w:line="240" w:lineRule="exact"/>
        <w:rPr>
          <w:sz w:val="20"/>
          <w:szCs w:val="20"/>
          <w:color w:val="auto"/>
        </w:rPr>
      </w:pPr>
    </w:p>
    <w:p>
      <w:pPr>
        <w:ind w:left="220" w:right="299" w:firstLine="343"/>
        <w:spacing w:after="0" w:line="239" w:lineRule="auto"/>
        <w:rPr>
          <w:sz w:val="20"/>
          <w:szCs w:val="20"/>
          <w:color w:val="auto"/>
        </w:rPr>
      </w:pPr>
      <w:r>
        <w:rPr>
          <w:rFonts w:ascii="Calibri" w:cs="Calibri" w:eastAsia="Calibri" w:hAnsi="Calibri"/>
          <w:sz w:val="17"/>
          <w:szCs w:val="17"/>
          <w:b w:val="1"/>
          <w:bCs w:val="1"/>
          <w:color w:val="auto"/>
        </w:rPr>
        <w:t>Investng in these securites involves risks. Please carefully read the informaton under the headings “</w:t>
      </w:r>
      <w:r>
        <w:rPr>
          <w:rFonts w:ascii="Calibri" w:cs="Calibri" w:eastAsia="Calibri" w:hAnsi="Calibri"/>
          <w:sz w:val="17"/>
          <w:szCs w:val="17"/>
          <w:b w:val="1"/>
          <w:bCs w:val="1"/>
          <w:u w:val="single" w:color="auto"/>
          <w:color w:val="0000EE"/>
        </w:rPr>
        <w:t>Risk Factors</w:t>
      </w:r>
      <w:r>
        <w:rPr>
          <w:rFonts w:ascii="Calibri" w:cs="Calibri" w:eastAsia="Calibri" w:hAnsi="Calibri"/>
          <w:sz w:val="17"/>
          <w:szCs w:val="17"/>
          <w:b w:val="1"/>
          <w:bCs w:val="1"/>
          <w:color w:val="auto"/>
        </w:rPr>
        <w:t>” beginning on page 5 of this prospectus and “Item 1A—Risk Factors” of our most recent report on Form 10-K or 10-Q that is incorporated by reference in this prospectus before you invest in our securites.</w:t>
      </w:r>
    </w:p>
    <w:p>
      <w:pPr>
        <w:spacing w:after="0" w:line="172" w:lineRule="exact"/>
        <w:rPr>
          <w:sz w:val="20"/>
          <w:szCs w:val="20"/>
          <w:color w:val="auto"/>
        </w:rPr>
      </w:pPr>
    </w:p>
    <w:p>
      <w:pPr>
        <w:ind w:left="220" w:right="339" w:firstLine="343"/>
        <w:spacing w:after="0" w:line="235" w:lineRule="auto"/>
        <w:rPr>
          <w:sz w:val="20"/>
          <w:szCs w:val="20"/>
          <w:color w:val="auto"/>
        </w:rPr>
      </w:pPr>
      <w:r>
        <w:rPr>
          <w:rFonts w:ascii="Calibri" w:cs="Calibri" w:eastAsia="Calibri" w:hAnsi="Calibri"/>
          <w:sz w:val="14"/>
          <w:szCs w:val="14"/>
          <w:b w:val="1"/>
          <w:bCs w:val="1"/>
          <w:color w:val="auto"/>
        </w:rPr>
        <w:t>Neither the Securites and Exchange Commission nor any state securites commission has approved or disapproved of these securites or passed upon the adequacy or accuracy of this prospectus. Any representaton to the contrary is a criminal ofense.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2286635</wp:posOffset>
            </wp:positionH>
            <wp:positionV relativeFrom="paragraph">
              <wp:posOffset>185420</wp:posOffset>
            </wp:positionV>
            <wp:extent cx="1146810" cy="698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6">
                      <a:extLst>
                        <a:ext uri="{28A0092B-C50C-407E-A947-70E740481C1C}"/>
                      </a:extLst>
                    </a:blip>
                    <a:srcRect/>
                    <a:stretch>
                      <a:fillRect/>
                    </a:stretch>
                  </pic:blipFill>
                  <pic:spPr bwMode="auto">
                    <a:xfrm>
                      <a:off x="0" y="0"/>
                      <a:ext cx="1146810" cy="6985"/>
                    </a:xfrm>
                    <a:prstGeom prst="rect">
                      <a:avLst/>
                    </a:prstGeom>
                    <a:noFill/>
                  </pic:spPr>
                </pic:pic>
              </a:graphicData>
            </a:graphic>
          </wp:anchor>
        </w:drawing>
      </w: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Calibri" w:cs="Calibri" w:eastAsia="Calibri" w:hAnsi="Calibri"/>
          <w:sz w:val="14"/>
          <w:szCs w:val="14"/>
          <w:b w:val="1"/>
          <w:bCs w:val="1"/>
          <w:color w:val="auto"/>
        </w:rPr>
        <w:t>The date of this prospectus is August 13, 2025.</w:t>
      </w:r>
    </w:p>
    <w:p>
      <w:pPr>
        <w:sectPr>
          <w:pgSz w:w="11900" w:h="16838" w:orient="portrait"/>
          <w:cols w:equalWidth="0" w:num="1">
            <w:col w:w="9019"/>
          </w:cols>
          <w:pgMar w:left="1440" w:top="234" w:right="1440" w:bottom="1440" w:gutter="0" w:footer="0" w:header="0"/>
        </w:sectPr>
      </w:pPr>
    </w:p>
    <w:bookmarkStart w:id="41" w:name="page42"/>
    <w:bookmarkEnd w:id="41"/>
    <w:tbl>
      <w:tblPr>
        <w:tblLayout w:type="fixed"/>
        <w:tblInd w:w="220" w:type="dxa"/>
        <w:tblCellMar>
          <w:top w:w="0" w:type="dxa"/>
          <w:left w:w="0" w:type="dxa"/>
          <w:bottom w:w="0" w:type="dxa"/>
          <w:right w:w="0" w:type="dxa"/>
        </w:tblCellMar>
      </w:tblPr>
      <w:tr>
        <w:trPr>
          <w:trHeight w:val="171"/>
        </w:trPr>
        <w:tc>
          <w:tcPr>
            <w:tcW w:w="4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460" w:type="dxa"/>
            <w:vAlign w:val="bottom"/>
            <w:gridSpan w:val="3"/>
          </w:tcPr>
          <w:p>
            <w:pPr>
              <w:ind w:left="600"/>
              <w:spacing w:after="0"/>
              <w:rPr>
                <w:sz w:val="20"/>
                <w:szCs w:val="20"/>
                <w:color w:val="auto"/>
              </w:rPr>
            </w:pPr>
            <w:r>
              <w:rPr>
                <w:rFonts w:ascii="Calibri" w:cs="Calibri" w:eastAsia="Calibri" w:hAnsi="Calibri"/>
                <w:sz w:val="14"/>
                <w:szCs w:val="14"/>
                <w:b w:val="1"/>
                <w:bCs w:val="1"/>
                <w:color w:val="auto"/>
              </w:rPr>
              <w:t>TABLE OF CONTENTS</w:t>
            </w:r>
          </w:p>
        </w:tc>
      </w:tr>
      <w:tr>
        <w:trPr>
          <w:trHeight w:val="335"/>
        </w:trPr>
        <w:tc>
          <w:tcPr>
            <w:tcW w:w="4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180" w:type="dxa"/>
            <w:vAlign w:val="bottom"/>
          </w:tcPr>
          <w:p>
            <w:pPr>
              <w:spacing w:after="0"/>
              <w:rPr>
                <w:sz w:val="24"/>
                <w:szCs w:val="24"/>
                <w:color w:val="auto"/>
              </w:rPr>
            </w:pPr>
          </w:p>
        </w:tc>
        <w:tc>
          <w:tcPr>
            <w:tcW w:w="280" w:type="dxa"/>
            <w:vAlign w:val="bottom"/>
            <w:gridSpan w:val="2"/>
          </w:tcPr>
          <w:p>
            <w:pPr>
              <w:jc w:val="right"/>
              <w:ind w:right="20"/>
              <w:spacing w:after="0"/>
              <w:rPr>
                <w:sz w:val="20"/>
                <w:szCs w:val="20"/>
                <w:color w:val="auto"/>
              </w:rPr>
            </w:pPr>
            <w:r>
              <w:rPr>
                <w:rFonts w:ascii="Calibri" w:cs="Calibri" w:eastAsia="Calibri" w:hAnsi="Calibri"/>
                <w:sz w:val="11"/>
                <w:szCs w:val="11"/>
                <w:b w:val="1"/>
                <w:bCs w:val="1"/>
                <w:color w:val="auto"/>
                <w:w w:val="96"/>
              </w:rPr>
              <w:t>PAGE</w:t>
            </w:r>
          </w:p>
        </w:tc>
      </w:tr>
      <w:tr>
        <w:trPr>
          <w:trHeight w:val="126"/>
        </w:trPr>
        <w:tc>
          <w:tcPr>
            <w:tcW w:w="3100" w:type="dxa"/>
            <w:vAlign w:val="bottom"/>
            <w:gridSpan w:val="17"/>
          </w:tcPr>
          <w:p>
            <w:pPr>
              <w:spacing w:after="0" w:line="126" w:lineRule="exact"/>
              <w:rPr>
                <w:sz w:val="20"/>
                <w:szCs w:val="20"/>
                <w:color w:val="auto"/>
              </w:rPr>
            </w:pPr>
            <w:r>
              <w:rPr>
                <w:rFonts w:ascii="Calibri" w:cs="Calibri" w:eastAsia="Calibri" w:hAnsi="Calibri"/>
                <w:sz w:val="13"/>
                <w:szCs w:val="13"/>
                <w:color w:val="0000EE"/>
              </w:rPr>
              <w:t>ABOUT THIS PROSPECTUS</w:t>
            </w:r>
          </w:p>
        </w:tc>
        <w:tc>
          <w:tcPr>
            <w:tcW w:w="5180" w:type="dxa"/>
            <w:vAlign w:val="bottom"/>
          </w:tcPr>
          <w:p>
            <w:pPr>
              <w:spacing w:after="0"/>
              <w:rPr>
                <w:sz w:val="10"/>
                <w:szCs w:val="10"/>
                <w:color w:val="auto"/>
              </w:rPr>
            </w:pPr>
          </w:p>
        </w:tc>
        <w:tc>
          <w:tcPr>
            <w:tcW w:w="260" w:type="dxa"/>
            <w:vAlign w:val="bottom"/>
            <w:tcBorders>
              <w:top w:val="single" w:sz="8" w:color="auto"/>
            </w:tcBorders>
          </w:tcPr>
          <w:p>
            <w:pPr>
              <w:jc w:val="right"/>
              <w:spacing w:after="0" w:line="126" w:lineRule="exact"/>
              <w:rPr>
                <w:sz w:val="20"/>
                <w:szCs w:val="20"/>
                <w:color w:val="auto"/>
              </w:rPr>
            </w:pPr>
            <w:r>
              <w:rPr>
                <w:rFonts w:ascii="Calibri" w:cs="Calibri" w:eastAsia="Calibri" w:hAnsi="Calibri"/>
                <w:sz w:val="13"/>
                <w:szCs w:val="13"/>
                <w:color w:val="auto"/>
              </w:rPr>
              <w:t>ii</w:t>
            </w:r>
          </w:p>
        </w:tc>
        <w:tc>
          <w:tcPr>
            <w:tcW w:w="20" w:type="dxa"/>
            <w:vAlign w:val="bottom"/>
          </w:tcPr>
          <w:p>
            <w:pPr>
              <w:spacing w:after="0"/>
              <w:rPr>
                <w:sz w:val="10"/>
                <w:szCs w:val="10"/>
                <w:color w:val="auto"/>
              </w:rPr>
            </w:pPr>
          </w:p>
        </w:tc>
      </w:tr>
      <w:tr>
        <w:trPr>
          <w:trHeight w:val="148"/>
        </w:trPr>
        <w:tc>
          <w:tcPr>
            <w:tcW w:w="1360" w:type="dxa"/>
            <w:vAlign w:val="bottom"/>
            <w:tcBorders>
              <w:top w:val="single" w:sz="8" w:color="0000EE"/>
              <w:bottom w:val="single" w:sz="8" w:color="0000EE"/>
            </w:tcBorders>
            <w:gridSpan w:val="6"/>
          </w:tcPr>
          <w:p>
            <w:pPr>
              <w:spacing w:after="0" w:line="148" w:lineRule="exact"/>
              <w:rPr>
                <w:sz w:val="20"/>
                <w:szCs w:val="20"/>
                <w:color w:val="auto"/>
              </w:rPr>
            </w:pPr>
            <w:r>
              <w:rPr>
                <w:rFonts w:ascii="Calibri" w:cs="Calibri" w:eastAsia="Calibri" w:hAnsi="Calibri"/>
                <w:sz w:val="14"/>
                <w:szCs w:val="14"/>
                <w:color w:val="0000EE"/>
                <w:w w:val="96"/>
              </w:rPr>
              <w:t>PROSPECTUS SUMMARY</w:t>
            </w:r>
          </w:p>
        </w:tc>
        <w:tc>
          <w:tcPr>
            <w:tcW w:w="60" w:type="dxa"/>
            <w:vAlign w:val="bottom"/>
            <w:tcBorders>
              <w:top w:val="single" w:sz="8" w:color="0000EE"/>
            </w:tcBorders>
          </w:tcPr>
          <w:p>
            <w:pPr>
              <w:spacing w:after="0"/>
              <w:rPr>
                <w:sz w:val="12"/>
                <w:szCs w:val="12"/>
                <w:color w:val="auto"/>
              </w:rPr>
            </w:pPr>
          </w:p>
        </w:tc>
        <w:tc>
          <w:tcPr>
            <w:tcW w:w="1680" w:type="dxa"/>
            <w:vAlign w:val="bottom"/>
            <w:gridSpan w:val="10"/>
          </w:tcPr>
          <w:p>
            <w:pPr>
              <w:spacing w:after="0"/>
              <w:rPr>
                <w:sz w:val="12"/>
                <w:szCs w:val="12"/>
                <w:color w:val="auto"/>
              </w:rPr>
            </w:pPr>
          </w:p>
        </w:tc>
        <w:tc>
          <w:tcPr>
            <w:tcW w:w="5460" w:type="dxa"/>
            <w:vAlign w:val="bottom"/>
            <w:gridSpan w:val="3"/>
          </w:tcPr>
          <w:p>
            <w:pPr>
              <w:jc w:val="right"/>
              <w:ind w:right="20"/>
              <w:spacing w:after="0" w:line="148" w:lineRule="exact"/>
              <w:rPr>
                <w:sz w:val="20"/>
                <w:szCs w:val="20"/>
                <w:color w:val="auto"/>
              </w:rPr>
            </w:pPr>
            <w:r>
              <w:rPr>
                <w:rFonts w:ascii="Calibri" w:cs="Calibri" w:eastAsia="Calibri" w:hAnsi="Calibri"/>
                <w:sz w:val="14"/>
                <w:szCs w:val="14"/>
                <w:color w:val="auto"/>
              </w:rPr>
              <w:t>1</w:t>
            </w:r>
          </w:p>
        </w:tc>
      </w:tr>
      <w:tr>
        <w:trPr>
          <w:trHeight w:val="148"/>
        </w:trPr>
        <w:tc>
          <w:tcPr>
            <w:tcW w:w="3100" w:type="dxa"/>
            <w:vAlign w:val="bottom"/>
            <w:gridSpan w:val="17"/>
          </w:tcPr>
          <w:p>
            <w:pPr>
              <w:spacing w:after="0" w:line="148" w:lineRule="exact"/>
              <w:rPr>
                <w:sz w:val="20"/>
                <w:szCs w:val="20"/>
                <w:color w:val="auto"/>
              </w:rPr>
            </w:pPr>
            <w:r>
              <w:rPr>
                <w:rFonts w:ascii="Calibri" w:cs="Calibri" w:eastAsia="Calibri" w:hAnsi="Calibri"/>
                <w:sz w:val="14"/>
                <w:szCs w:val="14"/>
                <w:color w:val="0000EE"/>
              </w:rPr>
              <w:t>RISK FACTORS</w:t>
            </w:r>
          </w:p>
        </w:tc>
        <w:tc>
          <w:tcPr>
            <w:tcW w:w="5460" w:type="dxa"/>
            <w:vAlign w:val="bottom"/>
            <w:gridSpan w:val="3"/>
          </w:tcPr>
          <w:p>
            <w:pPr>
              <w:jc w:val="right"/>
              <w:ind w:right="20"/>
              <w:spacing w:after="0" w:line="148" w:lineRule="exact"/>
              <w:rPr>
                <w:sz w:val="20"/>
                <w:szCs w:val="20"/>
                <w:color w:val="auto"/>
              </w:rPr>
            </w:pPr>
            <w:r>
              <w:rPr>
                <w:rFonts w:ascii="Calibri" w:cs="Calibri" w:eastAsia="Calibri" w:hAnsi="Calibri"/>
                <w:sz w:val="14"/>
                <w:szCs w:val="14"/>
                <w:color w:val="auto"/>
              </w:rPr>
              <w:t>5</w:t>
            </w:r>
          </w:p>
        </w:tc>
      </w:tr>
      <w:tr>
        <w:trPr>
          <w:trHeight w:val="20"/>
        </w:trPr>
        <w:tc>
          <w:tcPr>
            <w:tcW w:w="48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5460" w:type="dxa"/>
            <w:vAlign w:val="bottom"/>
            <w:gridSpan w:val="3"/>
          </w:tcPr>
          <w:p>
            <w:pPr>
              <w:spacing w:after="0" w:line="20" w:lineRule="exact"/>
              <w:rPr>
                <w:sz w:val="1"/>
                <w:szCs w:val="1"/>
                <w:color w:val="auto"/>
              </w:rPr>
            </w:pPr>
          </w:p>
        </w:tc>
      </w:tr>
      <w:tr>
        <w:trPr>
          <w:trHeight w:val="148"/>
        </w:trPr>
        <w:tc>
          <w:tcPr>
            <w:tcW w:w="3100" w:type="dxa"/>
            <w:vAlign w:val="bottom"/>
            <w:gridSpan w:val="17"/>
          </w:tcPr>
          <w:p>
            <w:pPr>
              <w:spacing w:after="0" w:line="148" w:lineRule="exact"/>
              <w:rPr>
                <w:sz w:val="20"/>
                <w:szCs w:val="20"/>
                <w:color w:val="auto"/>
              </w:rPr>
            </w:pPr>
            <w:r>
              <w:rPr>
                <w:rFonts w:ascii="Calibri" w:cs="Calibri" w:eastAsia="Calibri" w:hAnsi="Calibri"/>
                <w:sz w:val="14"/>
                <w:szCs w:val="14"/>
                <w:color w:val="0000EE"/>
              </w:rPr>
              <w:t>FORWARD-LOOKING STATEMENTS</w:t>
            </w:r>
          </w:p>
        </w:tc>
        <w:tc>
          <w:tcPr>
            <w:tcW w:w="5460" w:type="dxa"/>
            <w:vAlign w:val="bottom"/>
            <w:gridSpan w:val="3"/>
          </w:tcPr>
          <w:p>
            <w:pPr>
              <w:jc w:val="right"/>
              <w:ind w:right="20"/>
              <w:spacing w:after="0" w:line="148" w:lineRule="exact"/>
              <w:rPr>
                <w:sz w:val="20"/>
                <w:szCs w:val="20"/>
                <w:color w:val="auto"/>
              </w:rPr>
            </w:pPr>
            <w:r>
              <w:rPr>
                <w:rFonts w:ascii="Calibri" w:cs="Calibri" w:eastAsia="Calibri" w:hAnsi="Calibri"/>
                <w:sz w:val="14"/>
                <w:szCs w:val="14"/>
                <w:color w:val="auto"/>
              </w:rPr>
              <w:t>6</w:t>
            </w:r>
          </w:p>
        </w:tc>
      </w:tr>
      <w:tr>
        <w:trPr>
          <w:trHeight w:val="148"/>
        </w:trPr>
        <w:tc>
          <w:tcPr>
            <w:tcW w:w="1020" w:type="dxa"/>
            <w:vAlign w:val="bottom"/>
            <w:tcBorders>
              <w:top w:val="single" w:sz="8" w:color="0000EE"/>
              <w:bottom w:val="single" w:sz="8" w:color="0000EE"/>
            </w:tcBorders>
            <w:gridSpan w:val="4"/>
          </w:tcPr>
          <w:p>
            <w:pPr>
              <w:spacing w:after="0" w:line="148" w:lineRule="exact"/>
              <w:rPr>
                <w:sz w:val="20"/>
                <w:szCs w:val="20"/>
                <w:color w:val="auto"/>
              </w:rPr>
            </w:pPr>
            <w:r>
              <w:rPr>
                <w:rFonts w:ascii="Calibri" w:cs="Calibri" w:eastAsia="Calibri" w:hAnsi="Calibri"/>
                <w:sz w:val="14"/>
                <w:szCs w:val="14"/>
                <w:color w:val="0000EE"/>
                <w:w w:val="95"/>
              </w:rPr>
              <w:t>USE OF PROCEEDS</w:t>
            </w:r>
          </w:p>
        </w:tc>
        <w:tc>
          <w:tcPr>
            <w:tcW w:w="860" w:type="dxa"/>
            <w:vAlign w:val="bottom"/>
            <w:tcBorders>
              <w:top w:val="single" w:sz="8" w:color="0000EE"/>
            </w:tcBorders>
            <w:gridSpan w:val="7"/>
          </w:tcPr>
          <w:p>
            <w:pPr>
              <w:spacing w:after="0"/>
              <w:rPr>
                <w:sz w:val="12"/>
                <w:szCs w:val="12"/>
                <w:color w:val="auto"/>
              </w:rPr>
            </w:pPr>
          </w:p>
        </w:tc>
        <w:tc>
          <w:tcPr>
            <w:tcW w:w="1220" w:type="dxa"/>
            <w:vAlign w:val="bottom"/>
            <w:gridSpan w:val="6"/>
          </w:tcPr>
          <w:p>
            <w:pPr>
              <w:spacing w:after="0"/>
              <w:rPr>
                <w:sz w:val="12"/>
                <w:szCs w:val="12"/>
                <w:color w:val="auto"/>
              </w:rPr>
            </w:pPr>
          </w:p>
        </w:tc>
        <w:tc>
          <w:tcPr>
            <w:tcW w:w="5460" w:type="dxa"/>
            <w:vAlign w:val="bottom"/>
            <w:gridSpan w:val="3"/>
          </w:tcPr>
          <w:p>
            <w:pPr>
              <w:jc w:val="right"/>
              <w:ind w:right="20"/>
              <w:spacing w:after="0" w:line="148" w:lineRule="exact"/>
              <w:rPr>
                <w:sz w:val="20"/>
                <w:szCs w:val="20"/>
                <w:color w:val="auto"/>
              </w:rPr>
            </w:pPr>
            <w:r>
              <w:rPr>
                <w:rFonts w:ascii="Calibri" w:cs="Calibri" w:eastAsia="Calibri" w:hAnsi="Calibri"/>
                <w:sz w:val="14"/>
                <w:szCs w:val="14"/>
                <w:color w:val="auto"/>
              </w:rPr>
              <w:t>7</w:t>
            </w:r>
          </w:p>
        </w:tc>
      </w:tr>
      <w:tr>
        <w:trPr>
          <w:trHeight w:val="148"/>
        </w:trPr>
        <w:tc>
          <w:tcPr>
            <w:tcW w:w="1800" w:type="dxa"/>
            <w:vAlign w:val="bottom"/>
            <w:tcBorders>
              <w:bottom w:val="single" w:sz="8" w:color="0000EE"/>
            </w:tcBorders>
            <w:gridSpan w:val="10"/>
          </w:tcPr>
          <w:p>
            <w:pPr>
              <w:spacing w:after="0" w:line="148" w:lineRule="exact"/>
              <w:rPr>
                <w:sz w:val="20"/>
                <w:szCs w:val="20"/>
                <w:color w:val="auto"/>
              </w:rPr>
            </w:pPr>
            <w:r>
              <w:rPr>
                <w:rFonts w:ascii="Calibri" w:cs="Calibri" w:eastAsia="Calibri" w:hAnsi="Calibri"/>
                <w:sz w:val="14"/>
                <w:szCs w:val="14"/>
                <w:color w:val="0000EE"/>
                <w:w w:val="95"/>
              </w:rPr>
              <w:t>DESCRIPTION OF CAPITAL STOCK</w:t>
            </w:r>
          </w:p>
        </w:tc>
        <w:tc>
          <w:tcPr>
            <w:tcW w:w="1300" w:type="dxa"/>
            <w:vAlign w:val="bottom"/>
            <w:gridSpan w:val="7"/>
          </w:tcPr>
          <w:p>
            <w:pPr>
              <w:spacing w:after="0"/>
              <w:rPr>
                <w:sz w:val="12"/>
                <w:szCs w:val="12"/>
                <w:color w:val="auto"/>
              </w:rPr>
            </w:pPr>
          </w:p>
        </w:tc>
        <w:tc>
          <w:tcPr>
            <w:tcW w:w="5460" w:type="dxa"/>
            <w:vAlign w:val="bottom"/>
            <w:gridSpan w:val="3"/>
          </w:tcPr>
          <w:p>
            <w:pPr>
              <w:jc w:val="right"/>
              <w:ind w:right="20"/>
              <w:spacing w:after="0" w:line="148" w:lineRule="exact"/>
              <w:rPr>
                <w:sz w:val="20"/>
                <w:szCs w:val="20"/>
                <w:color w:val="auto"/>
              </w:rPr>
            </w:pPr>
            <w:r>
              <w:rPr>
                <w:rFonts w:ascii="Calibri" w:cs="Calibri" w:eastAsia="Calibri" w:hAnsi="Calibri"/>
                <w:sz w:val="14"/>
                <w:szCs w:val="14"/>
                <w:color w:val="auto"/>
              </w:rPr>
              <w:t>8</w:t>
            </w:r>
          </w:p>
        </w:tc>
      </w:tr>
      <w:tr>
        <w:trPr>
          <w:trHeight w:val="148"/>
        </w:trPr>
        <w:tc>
          <w:tcPr>
            <w:tcW w:w="3100" w:type="dxa"/>
            <w:vAlign w:val="bottom"/>
            <w:gridSpan w:val="17"/>
          </w:tcPr>
          <w:p>
            <w:pPr>
              <w:spacing w:after="0" w:line="148" w:lineRule="exact"/>
              <w:rPr>
                <w:sz w:val="20"/>
                <w:szCs w:val="20"/>
                <w:color w:val="auto"/>
              </w:rPr>
            </w:pPr>
            <w:r>
              <w:rPr>
                <w:rFonts w:ascii="Calibri" w:cs="Calibri" w:eastAsia="Calibri" w:hAnsi="Calibri"/>
                <w:sz w:val="14"/>
                <w:szCs w:val="14"/>
                <w:color w:val="0000EE"/>
              </w:rPr>
              <w:t>DESCRIPTION OF DEBT SECURITIES</w:t>
            </w:r>
          </w:p>
        </w:tc>
        <w:tc>
          <w:tcPr>
            <w:tcW w:w="5460" w:type="dxa"/>
            <w:vAlign w:val="bottom"/>
            <w:gridSpan w:val="3"/>
          </w:tcPr>
          <w:p>
            <w:pPr>
              <w:jc w:val="right"/>
              <w:ind w:right="20"/>
              <w:spacing w:after="0" w:line="148" w:lineRule="exact"/>
              <w:rPr>
                <w:sz w:val="20"/>
                <w:szCs w:val="20"/>
                <w:color w:val="auto"/>
              </w:rPr>
            </w:pPr>
            <w:r>
              <w:rPr>
                <w:rFonts w:ascii="Calibri" w:cs="Calibri" w:eastAsia="Calibri" w:hAnsi="Calibri"/>
                <w:sz w:val="14"/>
                <w:szCs w:val="14"/>
                <w:color w:val="auto"/>
              </w:rPr>
              <w:t>9</w:t>
            </w:r>
          </w:p>
        </w:tc>
      </w:tr>
      <w:tr>
        <w:trPr>
          <w:trHeight w:val="20"/>
        </w:trPr>
        <w:tc>
          <w:tcPr>
            <w:tcW w:w="480" w:type="dxa"/>
            <w:vAlign w:val="bottom"/>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300" w:type="dxa"/>
            <w:vAlign w:val="bottom"/>
            <w:gridSpan w:val="3"/>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20" w:type="dxa"/>
            <w:vAlign w:val="bottom"/>
            <w:gridSpan w:val="3"/>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5460" w:type="dxa"/>
            <w:vAlign w:val="bottom"/>
            <w:gridSpan w:val="3"/>
          </w:tcPr>
          <w:p>
            <w:pPr>
              <w:spacing w:after="0" w:line="20" w:lineRule="exact"/>
              <w:rPr>
                <w:sz w:val="1"/>
                <w:szCs w:val="1"/>
                <w:color w:val="auto"/>
              </w:rPr>
            </w:pPr>
          </w:p>
        </w:tc>
      </w:tr>
      <w:tr>
        <w:trPr>
          <w:trHeight w:val="148"/>
        </w:trPr>
        <w:tc>
          <w:tcPr>
            <w:tcW w:w="2100" w:type="dxa"/>
            <w:vAlign w:val="bottom"/>
            <w:tcBorders>
              <w:bottom w:val="single" w:sz="8" w:color="0000EE"/>
            </w:tcBorders>
            <w:gridSpan w:val="13"/>
          </w:tcPr>
          <w:p>
            <w:pPr>
              <w:spacing w:after="0" w:line="148" w:lineRule="exact"/>
              <w:rPr>
                <w:sz w:val="20"/>
                <w:szCs w:val="20"/>
                <w:color w:val="auto"/>
              </w:rPr>
            </w:pPr>
            <w:r>
              <w:rPr>
                <w:rFonts w:ascii="Calibri" w:cs="Calibri" w:eastAsia="Calibri" w:hAnsi="Calibri"/>
                <w:sz w:val="14"/>
                <w:szCs w:val="14"/>
                <w:color w:val="0000EE"/>
                <w:w w:val="95"/>
              </w:rPr>
              <w:t>DESCRIPTION OF DEPOSITARY SHARES</w:t>
            </w:r>
          </w:p>
        </w:tc>
        <w:tc>
          <w:tcPr>
            <w:tcW w:w="1000" w:type="dxa"/>
            <w:vAlign w:val="bottom"/>
            <w:gridSpan w:val="4"/>
          </w:tcPr>
          <w:p>
            <w:pPr>
              <w:spacing w:after="0"/>
              <w:rPr>
                <w:sz w:val="12"/>
                <w:szCs w:val="12"/>
                <w:color w:val="auto"/>
              </w:rPr>
            </w:pPr>
          </w:p>
        </w:tc>
        <w:tc>
          <w:tcPr>
            <w:tcW w:w="5460" w:type="dxa"/>
            <w:vAlign w:val="bottom"/>
            <w:gridSpan w:val="3"/>
          </w:tcPr>
          <w:p>
            <w:pPr>
              <w:jc w:val="right"/>
              <w:ind w:right="20"/>
              <w:spacing w:after="0" w:line="148" w:lineRule="exact"/>
              <w:rPr>
                <w:sz w:val="20"/>
                <w:szCs w:val="20"/>
                <w:color w:val="auto"/>
              </w:rPr>
            </w:pPr>
            <w:r>
              <w:rPr>
                <w:rFonts w:ascii="Calibri" w:cs="Calibri" w:eastAsia="Calibri" w:hAnsi="Calibri"/>
                <w:sz w:val="14"/>
                <w:szCs w:val="14"/>
                <w:color w:val="auto"/>
              </w:rPr>
              <w:t>17</w:t>
            </w:r>
          </w:p>
        </w:tc>
      </w:tr>
      <w:tr>
        <w:trPr>
          <w:trHeight w:val="148"/>
        </w:trPr>
        <w:tc>
          <w:tcPr>
            <w:tcW w:w="1600" w:type="dxa"/>
            <w:vAlign w:val="bottom"/>
            <w:tcBorders>
              <w:bottom w:val="single" w:sz="8" w:color="0000EE"/>
            </w:tcBorders>
            <w:gridSpan w:val="8"/>
          </w:tcPr>
          <w:p>
            <w:pPr>
              <w:spacing w:after="0" w:line="148" w:lineRule="exact"/>
              <w:rPr>
                <w:sz w:val="20"/>
                <w:szCs w:val="20"/>
                <w:color w:val="auto"/>
              </w:rPr>
            </w:pPr>
            <w:r>
              <w:rPr>
                <w:rFonts w:ascii="Calibri" w:cs="Calibri" w:eastAsia="Calibri" w:hAnsi="Calibri"/>
                <w:sz w:val="14"/>
                <w:szCs w:val="14"/>
                <w:color w:val="0000EE"/>
                <w:w w:val="95"/>
              </w:rPr>
              <w:t>DESCRIPTION OF WARRANTS</w:t>
            </w:r>
          </w:p>
        </w:tc>
        <w:tc>
          <w:tcPr>
            <w:tcW w:w="1500" w:type="dxa"/>
            <w:vAlign w:val="bottom"/>
            <w:gridSpan w:val="9"/>
          </w:tcPr>
          <w:p>
            <w:pPr>
              <w:spacing w:after="0"/>
              <w:rPr>
                <w:sz w:val="12"/>
                <w:szCs w:val="12"/>
                <w:color w:val="auto"/>
              </w:rPr>
            </w:pPr>
          </w:p>
        </w:tc>
        <w:tc>
          <w:tcPr>
            <w:tcW w:w="5460" w:type="dxa"/>
            <w:vAlign w:val="bottom"/>
            <w:gridSpan w:val="3"/>
          </w:tcPr>
          <w:p>
            <w:pPr>
              <w:jc w:val="right"/>
              <w:ind w:right="20"/>
              <w:spacing w:after="0" w:line="148" w:lineRule="exact"/>
              <w:rPr>
                <w:sz w:val="20"/>
                <w:szCs w:val="20"/>
                <w:color w:val="auto"/>
              </w:rPr>
            </w:pPr>
            <w:r>
              <w:rPr>
                <w:rFonts w:ascii="Calibri" w:cs="Calibri" w:eastAsia="Calibri" w:hAnsi="Calibri"/>
                <w:sz w:val="14"/>
                <w:szCs w:val="14"/>
                <w:color w:val="auto"/>
              </w:rPr>
              <w:t>20</w:t>
            </w:r>
          </w:p>
        </w:tc>
      </w:tr>
      <w:tr>
        <w:trPr>
          <w:trHeight w:val="148"/>
        </w:trPr>
        <w:tc>
          <w:tcPr>
            <w:tcW w:w="2220" w:type="dxa"/>
            <w:vAlign w:val="bottom"/>
            <w:tcBorders>
              <w:bottom w:val="single" w:sz="8" w:color="0000EE"/>
            </w:tcBorders>
            <w:gridSpan w:val="14"/>
          </w:tcPr>
          <w:p>
            <w:pPr>
              <w:spacing w:after="0" w:line="148" w:lineRule="exact"/>
              <w:rPr>
                <w:sz w:val="20"/>
                <w:szCs w:val="20"/>
                <w:color w:val="auto"/>
              </w:rPr>
            </w:pPr>
            <w:r>
              <w:rPr>
                <w:rFonts w:ascii="Calibri" w:cs="Calibri" w:eastAsia="Calibri" w:hAnsi="Calibri"/>
                <w:sz w:val="14"/>
                <w:szCs w:val="14"/>
                <w:color w:val="0000EE"/>
                <w:w w:val="96"/>
              </w:rPr>
              <w:t>DESCRIPTION OF SUBSCRIPTION RIGHTS</w:t>
            </w:r>
          </w:p>
        </w:tc>
        <w:tc>
          <w:tcPr>
            <w:tcW w:w="880" w:type="dxa"/>
            <w:vAlign w:val="bottom"/>
            <w:gridSpan w:val="3"/>
          </w:tcPr>
          <w:p>
            <w:pPr>
              <w:spacing w:after="0"/>
              <w:rPr>
                <w:sz w:val="12"/>
                <w:szCs w:val="12"/>
                <w:color w:val="auto"/>
              </w:rPr>
            </w:pPr>
          </w:p>
        </w:tc>
        <w:tc>
          <w:tcPr>
            <w:tcW w:w="5460" w:type="dxa"/>
            <w:vAlign w:val="bottom"/>
            <w:gridSpan w:val="3"/>
          </w:tcPr>
          <w:p>
            <w:pPr>
              <w:jc w:val="right"/>
              <w:ind w:right="20"/>
              <w:spacing w:after="0" w:line="148" w:lineRule="exact"/>
              <w:rPr>
                <w:sz w:val="20"/>
                <w:szCs w:val="20"/>
                <w:color w:val="auto"/>
              </w:rPr>
            </w:pPr>
            <w:r>
              <w:rPr>
                <w:rFonts w:ascii="Calibri" w:cs="Calibri" w:eastAsia="Calibri" w:hAnsi="Calibri"/>
                <w:sz w:val="14"/>
                <w:szCs w:val="14"/>
                <w:color w:val="auto"/>
              </w:rPr>
              <w:t>21</w:t>
            </w:r>
          </w:p>
        </w:tc>
      </w:tr>
      <w:tr>
        <w:trPr>
          <w:trHeight w:val="148"/>
        </w:trPr>
        <w:tc>
          <w:tcPr>
            <w:tcW w:w="2260" w:type="dxa"/>
            <w:vAlign w:val="bottom"/>
            <w:tcBorders>
              <w:bottom w:val="single" w:sz="8" w:color="0000EE"/>
            </w:tcBorders>
            <w:gridSpan w:val="15"/>
          </w:tcPr>
          <w:p>
            <w:pPr>
              <w:spacing w:after="0" w:line="148" w:lineRule="exact"/>
              <w:rPr>
                <w:sz w:val="20"/>
                <w:szCs w:val="20"/>
                <w:color w:val="auto"/>
              </w:rPr>
            </w:pPr>
            <w:r>
              <w:rPr>
                <w:rFonts w:ascii="Calibri" w:cs="Calibri" w:eastAsia="Calibri" w:hAnsi="Calibri"/>
                <w:sz w:val="14"/>
                <w:szCs w:val="14"/>
                <w:color w:val="0000EE"/>
                <w:w w:val="96"/>
              </w:rPr>
              <w:t>DESCRIPTION OF PURCHASE CONTRACTS</w:t>
            </w:r>
          </w:p>
        </w:tc>
        <w:tc>
          <w:tcPr>
            <w:tcW w:w="840" w:type="dxa"/>
            <w:vAlign w:val="bottom"/>
            <w:gridSpan w:val="2"/>
          </w:tcPr>
          <w:p>
            <w:pPr>
              <w:spacing w:after="0"/>
              <w:rPr>
                <w:sz w:val="12"/>
                <w:szCs w:val="12"/>
                <w:color w:val="auto"/>
              </w:rPr>
            </w:pPr>
          </w:p>
        </w:tc>
        <w:tc>
          <w:tcPr>
            <w:tcW w:w="5460" w:type="dxa"/>
            <w:vAlign w:val="bottom"/>
            <w:gridSpan w:val="3"/>
          </w:tcPr>
          <w:p>
            <w:pPr>
              <w:jc w:val="right"/>
              <w:ind w:right="20"/>
              <w:spacing w:after="0" w:line="148" w:lineRule="exact"/>
              <w:rPr>
                <w:sz w:val="20"/>
                <w:szCs w:val="20"/>
                <w:color w:val="auto"/>
              </w:rPr>
            </w:pPr>
            <w:r>
              <w:rPr>
                <w:rFonts w:ascii="Calibri" w:cs="Calibri" w:eastAsia="Calibri" w:hAnsi="Calibri"/>
                <w:sz w:val="14"/>
                <w:szCs w:val="14"/>
                <w:color w:val="auto"/>
              </w:rPr>
              <w:t>22</w:t>
            </w:r>
          </w:p>
        </w:tc>
      </w:tr>
      <w:tr>
        <w:trPr>
          <w:trHeight w:val="148"/>
        </w:trPr>
        <w:tc>
          <w:tcPr>
            <w:tcW w:w="1300" w:type="dxa"/>
            <w:vAlign w:val="bottom"/>
            <w:tcBorders>
              <w:bottom w:val="single" w:sz="8" w:color="0000EE"/>
            </w:tcBorders>
            <w:gridSpan w:val="5"/>
          </w:tcPr>
          <w:p>
            <w:pPr>
              <w:spacing w:after="0" w:line="148" w:lineRule="exact"/>
              <w:rPr>
                <w:sz w:val="20"/>
                <w:szCs w:val="20"/>
                <w:color w:val="auto"/>
              </w:rPr>
            </w:pPr>
            <w:r>
              <w:rPr>
                <w:rFonts w:ascii="Calibri" w:cs="Calibri" w:eastAsia="Calibri" w:hAnsi="Calibri"/>
                <w:sz w:val="14"/>
                <w:szCs w:val="14"/>
                <w:color w:val="0000EE"/>
                <w:w w:val="96"/>
              </w:rPr>
              <w:t>DESCRIPTION OF UNITS</w:t>
            </w:r>
          </w:p>
        </w:tc>
        <w:tc>
          <w:tcPr>
            <w:tcW w:w="1800" w:type="dxa"/>
            <w:vAlign w:val="bottom"/>
            <w:gridSpan w:val="12"/>
          </w:tcPr>
          <w:p>
            <w:pPr>
              <w:spacing w:after="0"/>
              <w:rPr>
                <w:sz w:val="12"/>
                <w:szCs w:val="12"/>
                <w:color w:val="auto"/>
              </w:rPr>
            </w:pPr>
          </w:p>
        </w:tc>
        <w:tc>
          <w:tcPr>
            <w:tcW w:w="5460" w:type="dxa"/>
            <w:vAlign w:val="bottom"/>
            <w:gridSpan w:val="3"/>
          </w:tcPr>
          <w:p>
            <w:pPr>
              <w:jc w:val="right"/>
              <w:ind w:right="20"/>
              <w:spacing w:after="0" w:line="148" w:lineRule="exact"/>
              <w:rPr>
                <w:sz w:val="20"/>
                <w:szCs w:val="20"/>
                <w:color w:val="auto"/>
              </w:rPr>
            </w:pPr>
            <w:r>
              <w:rPr>
                <w:rFonts w:ascii="Calibri" w:cs="Calibri" w:eastAsia="Calibri" w:hAnsi="Calibri"/>
                <w:sz w:val="14"/>
                <w:szCs w:val="14"/>
                <w:color w:val="auto"/>
              </w:rPr>
              <w:t>23</w:t>
            </w:r>
          </w:p>
        </w:tc>
      </w:tr>
      <w:tr>
        <w:trPr>
          <w:trHeight w:val="148"/>
        </w:trPr>
        <w:tc>
          <w:tcPr>
            <w:tcW w:w="3100" w:type="dxa"/>
            <w:vAlign w:val="bottom"/>
            <w:gridSpan w:val="17"/>
          </w:tcPr>
          <w:p>
            <w:pPr>
              <w:spacing w:after="0" w:line="148" w:lineRule="exact"/>
              <w:rPr>
                <w:sz w:val="20"/>
                <w:szCs w:val="20"/>
                <w:color w:val="auto"/>
              </w:rPr>
            </w:pPr>
            <w:r>
              <w:rPr>
                <w:rFonts w:ascii="Calibri" w:cs="Calibri" w:eastAsia="Calibri" w:hAnsi="Calibri"/>
                <w:sz w:val="14"/>
                <w:szCs w:val="14"/>
                <w:color w:val="0000EE"/>
              </w:rPr>
              <w:t>PLAN OF DISTRIBUTION</w:t>
            </w:r>
          </w:p>
        </w:tc>
        <w:tc>
          <w:tcPr>
            <w:tcW w:w="5460" w:type="dxa"/>
            <w:vAlign w:val="bottom"/>
            <w:gridSpan w:val="3"/>
          </w:tcPr>
          <w:p>
            <w:pPr>
              <w:jc w:val="right"/>
              <w:ind w:right="20"/>
              <w:spacing w:after="0" w:line="148" w:lineRule="exact"/>
              <w:rPr>
                <w:sz w:val="20"/>
                <w:szCs w:val="20"/>
                <w:color w:val="auto"/>
              </w:rPr>
            </w:pPr>
            <w:r>
              <w:rPr>
                <w:rFonts w:ascii="Calibri" w:cs="Calibri" w:eastAsia="Calibri" w:hAnsi="Calibri"/>
                <w:sz w:val="14"/>
                <w:szCs w:val="14"/>
                <w:color w:val="auto"/>
              </w:rPr>
              <w:t>24</w:t>
            </w:r>
          </w:p>
        </w:tc>
      </w:tr>
      <w:tr>
        <w:trPr>
          <w:trHeight w:val="148"/>
        </w:trPr>
        <w:tc>
          <w:tcPr>
            <w:tcW w:w="900" w:type="dxa"/>
            <w:vAlign w:val="bottom"/>
            <w:tcBorders>
              <w:top w:val="single" w:sz="8" w:color="0000EE"/>
              <w:bottom w:val="single" w:sz="8" w:color="0000EE"/>
            </w:tcBorders>
            <w:gridSpan w:val="3"/>
          </w:tcPr>
          <w:p>
            <w:pPr>
              <w:spacing w:after="0" w:line="148" w:lineRule="exact"/>
              <w:rPr>
                <w:sz w:val="20"/>
                <w:szCs w:val="20"/>
                <w:color w:val="auto"/>
              </w:rPr>
            </w:pPr>
            <w:r>
              <w:rPr>
                <w:rFonts w:ascii="Calibri" w:cs="Calibri" w:eastAsia="Calibri" w:hAnsi="Calibri"/>
                <w:sz w:val="14"/>
                <w:szCs w:val="14"/>
                <w:color w:val="0000EE"/>
                <w:w w:val="94"/>
              </w:rPr>
              <w:t>LEGAL MATTERS</w:t>
            </w:r>
          </w:p>
        </w:tc>
        <w:tc>
          <w:tcPr>
            <w:tcW w:w="400" w:type="dxa"/>
            <w:vAlign w:val="bottom"/>
            <w:tcBorders>
              <w:top w:val="single" w:sz="8" w:color="0000EE"/>
            </w:tcBorders>
            <w:gridSpan w:val="2"/>
          </w:tcPr>
          <w:p>
            <w:pPr>
              <w:spacing w:after="0"/>
              <w:rPr>
                <w:sz w:val="12"/>
                <w:szCs w:val="12"/>
                <w:color w:val="auto"/>
              </w:rPr>
            </w:pPr>
          </w:p>
        </w:tc>
        <w:tc>
          <w:tcPr>
            <w:tcW w:w="1800" w:type="dxa"/>
            <w:vAlign w:val="bottom"/>
            <w:gridSpan w:val="12"/>
          </w:tcPr>
          <w:p>
            <w:pPr>
              <w:spacing w:after="0"/>
              <w:rPr>
                <w:sz w:val="12"/>
                <w:szCs w:val="12"/>
                <w:color w:val="auto"/>
              </w:rPr>
            </w:pPr>
          </w:p>
        </w:tc>
        <w:tc>
          <w:tcPr>
            <w:tcW w:w="5460" w:type="dxa"/>
            <w:vAlign w:val="bottom"/>
            <w:gridSpan w:val="3"/>
          </w:tcPr>
          <w:p>
            <w:pPr>
              <w:jc w:val="right"/>
              <w:ind w:right="20"/>
              <w:spacing w:after="0" w:line="148" w:lineRule="exact"/>
              <w:rPr>
                <w:sz w:val="20"/>
                <w:szCs w:val="20"/>
                <w:color w:val="auto"/>
              </w:rPr>
            </w:pPr>
            <w:r>
              <w:rPr>
                <w:rFonts w:ascii="Calibri" w:cs="Calibri" w:eastAsia="Calibri" w:hAnsi="Calibri"/>
                <w:sz w:val="14"/>
                <w:szCs w:val="14"/>
                <w:color w:val="auto"/>
              </w:rPr>
              <w:t>27</w:t>
            </w:r>
          </w:p>
        </w:tc>
      </w:tr>
      <w:tr>
        <w:trPr>
          <w:trHeight w:val="148"/>
        </w:trPr>
        <w:tc>
          <w:tcPr>
            <w:tcW w:w="480" w:type="dxa"/>
            <w:vAlign w:val="bottom"/>
            <w:tcBorders>
              <w:bottom w:val="single" w:sz="8" w:color="0000EE"/>
            </w:tcBorders>
          </w:tcPr>
          <w:p>
            <w:pPr>
              <w:spacing w:after="0" w:line="148" w:lineRule="exact"/>
              <w:rPr>
                <w:sz w:val="20"/>
                <w:szCs w:val="20"/>
                <w:color w:val="auto"/>
              </w:rPr>
            </w:pPr>
            <w:r>
              <w:rPr>
                <w:rFonts w:ascii="Calibri" w:cs="Calibri" w:eastAsia="Calibri" w:hAnsi="Calibri"/>
                <w:sz w:val="14"/>
                <w:szCs w:val="14"/>
                <w:color w:val="0000EE"/>
                <w:w w:val="93"/>
              </w:rPr>
              <w:t>EXPERTS</w:t>
            </w:r>
          </w:p>
        </w:tc>
        <w:tc>
          <w:tcPr>
            <w:tcW w:w="2620" w:type="dxa"/>
            <w:vAlign w:val="bottom"/>
            <w:gridSpan w:val="16"/>
          </w:tcPr>
          <w:p>
            <w:pPr>
              <w:spacing w:after="0"/>
              <w:rPr>
                <w:sz w:val="12"/>
                <w:szCs w:val="12"/>
                <w:color w:val="auto"/>
              </w:rPr>
            </w:pPr>
          </w:p>
        </w:tc>
        <w:tc>
          <w:tcPr>
            <w:tcW w:w="5460" w:type="dxa"/>
            <w:vAlign w:val="bottom"/>
            <w:gridSpan w:val="3"/>
          </w:tcPr>
          <w:p>
            <w:pPr>
              <w:jc w:val="right"/>
              <w:ind w:right="20"/>
              <w:spacing w:after="0" w:line="148" w:lineRule="exact"/>
              <w:rPr>
                <w:sz w:val="20"/>
                <w:szCs w:val="20"/>
                <w:color w:val="auto"/>
              </w:rPr>
            </w:pPr>
            <w:r>
              <w:rPr>
                <w:rFonts w:ascii="Calibri" w:cs="Calibri" w:eastAsia="Calibri" w:hAnsi="Calibri"/>
                <w:sz w:val="14"/>
                <w:szCs w:val="14"/>
                <w:color w:val="auto"/>
              </w:rPr>
              <w:t>28</w:t>
            </w:r>
          </w:p>
        </w:tc>
      </w:tr>
      <w:tr>
        <w:trPr>
          <w:trHeight w:val="148"/>
        </w:trPr>
        <w:tc>
          <w:tcPr>
            <w:tcW w:w="2480" w:type="dxa"/>
            <w:vAlign w:val="bottom"/>
            <w:tcBorders>
              <w:bottom w:val="single" w:sz="8" w:color="0000EE"/>
            </w:tcBorders>
            <w:gridSpan w:val="16"/>
          </w:tcPr>
          <w:p>
            <w:pPr>
              <w:spacing w:after="0" w:line="148" w:lineRule="exact"/>
              <w:rPr>
                <w:sz w:val="20"/>
                <w:szCs w:val="20"/>
                <w:color w:val="auto"/>
              </w:rPr>
            </w:pPr>
            <w:r>
              <w:rPr>
                <w:rFonts w:ascii="Calibri" w:cs="Calibri" w:eastAsia="Calibri" w:hAnsi="Calibri"/>
                <w:sz w:val="14"/>
                <w:szCs w:val="14"/>
                <w:color w:val="0000EE"/>
                <w:w w:val="96"/>
              </w:rPr>
              <w:t>WHERE YOU CAN FIND MORE INFORMATION</w:t>
            </w:r>
          </w:p>
        </w:tc>
        <w:tc>
          <w:tcPr>
            <w:tcW w:w="620" w:type="dxa"/>
            <w:vAlign w:val="bottom"/>
          </w:tcPr>
          <w:p>
            <w:pPr>
              <w:spacing w:after="0"/>
              <w:rPr>
                <w:sz w:val="12"/>
                <w:szCs w:val="12"/>
                <w:color w:val="auto"/>
              </w:rPr>
            </w:pPr>
          </w:p>
        </w:tc>
        <w:tc>
          <w:tcPr>
            <w:tcW w:w="5460" w:type="dxa"/>
            <w:vAlign w:val="bottom"/>
            <w:gridSpan w:val="3"/>
          </w:tcPr>
          <w:p>
            <w:pPr>
              <w:jc w:val="right"/>
              <w:ind w:right="20"/>
              <w:spacing w:after="0" w:line="148" w:lineRule="exact"/>
              <w:rPr>
                <w:sz w:val="20"/>
                <w:szCs w:val="20"/>
                <w:color w:val="auto"/>
              </w:rPr>
            </w:pPr>
            <w:r>
              <w:rPr>
                <w:rFonts w:ascii="Calibri" w:cs="Calibri" w:eastAsia="Calibri" w:hAnsi="Calibri"/>
                <w:sz w:val="14"/>
                <w:szCs w:val="14"/>
                <w:color w:val="auto"/>
              </w:rPr>
              <w:t>29</w:t>
            </w:r>
          </w:p>
        </w:tc>
      </w:tr>
      <w:tr>
        <w:trPr>
          <w:trHeight w:val="148"/>
        </w:trPr>
        <w:tc>
          <w:tcPr>
            <w:tcW w:w="1780" w:type="dxa"/>
            <w:vAlign w:val="bottom"/>
            <w:tcBorders>
              <w:bottom w:val="single" w:sz="8" w:color="0000EE"/>
            </w:tcBorders>
            <w:gridSpan w:val="9"/>
          </w:tcPr>
          <w:p>
            <w:pPr>
              <w:spacing w:after="0" w:line="148" w:lineRule="exact"/>
              <w:rPr>
                <w:sz w:val="20"/>
                <w:szCs w:val="20"/>
                <w:color w:val="auto"/>
              </w:rPr>
            </w:pPr>
            <w:r>
              <w:rPr>
                <w:rFonts w:ascii="Calibri" w:cs="Calibri" w:eastAsia="Calibri" w:hAnsi="Calibri"/>
                <w:sz w:val="14"/>
                <w:szCs w:val="14"/>
                <w:color w:val="0000EE"/>
                <w:w w:val="95"/>
              </w:rPr>
              <w:t>INCORPORATION BY REFERENCE</w:t>
            </w:r>
          </w:p>
        </w:tc>
        <w:tc>
          <w:tcPr>
            <w:tcW w:w="1320" w:type="dxa"/>
            <w:vAlign w:val="bottom"/>
            <w:gridSpan w:val="8"/>
          </w:tcPr>
          <w:p>
            <w:pPr>
              <w:spacing w:after="0"/>
              <w:rPr>
                <w:sz w:val="12"/>
                <w:szCs w:val="12"/>
                <w:color w:val="auto"/>
              </w:rPr>
            </w:pPr>
          </w:p>
        </w:tc>
        <w:tc>
          <w:tcPr>
            <w:tcW w:w="5460" w:type="dxa"/>
            <w:vAlign w:val="bottom"/>
            <w:gridSpan w:val="3"/>
          </w:tcPr>
          <w:p>
            <w:pPr>
              <w:jc w:val="right"/>
              <w:ind w:right="20"/>
              <w:spacing w:after="0" w:line="148" w:lineRule="exact"/>
              <w:rPr>
                <w:sz w:val="20"/>
                <w:szCs w:val="20"/>
                <w:color w:val="auto"/>
              </w:rPr>
            </w:pPr>
            <w:r>
              <w:rPr>
                <w:rFonts w:ascii="Calibri" w:cs="Calibri" w:eastAsia="Calibri" w:hAnsi="Calibri"/>
                <w:sz w:val="14"/>
                <w:szCs w:val="14"/>
                <w:color w:val="auto"/>
              </w:rPr>
              <w:t>30</w:t>
            </w:r>
          </w:p>
        </w:tc>
      </w:tr>
    </w:tbl>
    <w:p>
      <w:pPr>
        <w:spacing w:after="0" w:line="126"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7">
                      <a:extLst>
                        <a:ext uri="{28A0092B-C50C-407E-A947-70E740481C1C}"/>
                      </a:extLst>
                    </a:blip>
                    <a:srcRect/>
                    <a:stretch>
                      <a:fillRect/>
                    </a:stretch>
                  </pic:blipFill>
                  <pic:spPr bwMode="auto">
                    <a:xfrm>
                      <a:off x="0" y="0"/>
                      <a:ext cx="7201535" cy="33020"/>
                    </a:xfrm>
                    <a:prstGeom prst="rect">
                      <a:avLst/>
                    </a:prstGeom>
                    <a:noFill/>
                  </pic:spPr>
                </pic:pic>
              </a:graphicData>
            </a:graphic>
          </wp:anchor>
        </w:drawing>
      </w:r>
    </w:p>
    <w:p>
      <w:pPr>
        <w:jc w:val="center"/>
        <w:ind w:right="19"/>
        <w:spacing w:after="0"/>
        <w:rPr>
          <w:sz w:val="20"/>
          <w:szCs w:val="20"/>
          <w:color w:val="auto"/>
        </w:rPr>
      </w:pPr>
      <w:r>
        <w:rPr>
          <w:rFonts w:ascii="Calibri" w:cs="Calibri" w:eastAsia="Calibri" w:hAnsi="Calibri"/>
          <w:sz w:val="14"/>
          <w:szCs w:val="14"/>
          <w:color w:val="auto"/>
        </w:rPr>
        <w:t>-i-</w:t>
      </w:r>
    </w:p>
    <w:p>
      <w:pPr>
        <w:sectPr>
          <w:pgSz w:w="11900" w:h="16838" w:orient="portrait"/>
          <w:cols w:equalWidth="0" w:num="1">
            <w:col w:w="9019"/>
          </w:cols>
          <w:pgMar w:left="1440" w:top="234" w:right="1440" w:bottom="1440" w:gutter="0" w:footer="0" w:header="0"/>
        </w:sectPr>
      </w:pPr>
    </w:p>
    <w:bookmarkStart w:id="42" w:name="page43"/>
    <w:bookmarkEnd w:id="42"/>
    <w:p>
      <w:pPr>
        <w:jc w:val="center"/>
        <w:ind w:right="19"/>
        <w:spacing w:after="0"/>
        <w:rPr>
          <w:sz w:val="20"/>
          <w:szCs w:val="20"/>
          <w:color w:val="auto"/>
        </w:rPr>
      </w:pPr>
      <w:r>
        <w:rPr>
          <w:rFonts w:ascii="Calibri" w:cs="Calibri" w:eastAsia="Calibri" w:hAnsi="Calibri"/>
          <w:sz w:val="14"/>
          <w:szCs w:val="14"/>
          <w:b w:val="1"/>
          <w:bCs w:val="1"/>
          <w:color w:val="auto"/>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8">
                      <a:extLst>
                        <a:ext uri="{28A0092B-C50C-407E-A947-70E740481C1C}"/>
                      </a:extLst>
                    </a:blip>
                    <a:srcRect/>
                    <a:stretch>
                      <a:fillRect/>
                    </a:stretch>
                  </pic:blipFill>
                  <pic:spPr bwMode="auto">
                    <a:xfrm>
                      <a:off x="0" y="0"/>
                      <a:ext cx="7201535" cy="33020"/>
                    </a:xfrm>
                    <a:prstGeom prst="rect">
                      <a:avLst/>
                    </a:prstGeom>
                    <a:noFill/>
                  </pic:spPr>
                </pic:pic>
              </a:graphicData>
            </a:graphic>
          </wp:anchor>
        </w:drawing>
        <w:t>ABOUT THIS PROSPECTUS</w:t>
      </w:r>
    </w:p>
    <w:p>
      <w:pPr>
        <w:spacing w:after="0" w:line="169" w:lineRule="exact"/>
        <w:rPr>
          <w:sz w:val="20"/>
          <w:szCs w:val="20"/>
          <w:color w:val="auto"/>
        </w:rPr>
      </w:pPr>
    </w:p>
    <w:p>
      <w:pPr>
        <w:ind w:left="220" w:right="239" w:firstLine="343"/>
        <w:spacing w:after="0" w:line="235" w:lineRule="auto"/>
        <w:rPr>
          <w:sz w:val="20"/>
          <w:szCs w:val="20"/>
          <w:color w:val="auto"/>
        </w:rPr>
      </w:pPr>
      <w:r>
        <w:rPr>
          <w:rFonts w:ascii="Calibri" w:cs="Calibri" w:eastAsia="Calibri" w:hAnsi="Calibri"/>
          <w:sz w:val="14"/>
          <w:szCs w:val="14"/>
          <w:color w:val="auto"/>
        </w:rPr>
        <w:t>This prospectus is part of a registraton statement that we fled with the Securites and Exchange Commission (the “SEC”) as a “well-known seasoned issuer” as defned in Rule 405 under the Securites Act of 1933, as amended (the “Securites Act”), using a “shelf” registraton process. Under this shelf registraton process, we may from tme to tme sell any combinaton of the securites described in this prospectus in one or more oferings.</w:t>
      </w:r>
    </w:p>
    <w:p>
      <w:pPr>
        <w:spacing w:after="0" w:line="170" w:lineRule="exact"/>
        <w:rPr>
          <w:sz w:val="20"/>
          <w:szCs w:val="20"/>
          <w:color w:val="auto"/>
        </w:rPr>
      </w:pPr>
    </w:p>
    <w:p>
      <w:pPr>
        <w:ind w:left="220" w:right="339" w:firstLine="343"/>
        <w:spacing w:after="0" w:line="235" w:lineRule="auto"/>
        <w:rPr>
          <w:sz w:val="20"/>
          <w:szCs w:val="20"/>
          <w:color w:val="auto"/>
        </w:rPr>
      </w:pPr>
      <w:r>
        <w:rPr>
          <w:rFonts w:ascii="Calibri" w:cs="Calibri" w:eastAsia="Calibri" w:hAnsi="Calibri"/>
          <w:sz w:val="14"/>
          <w:szCs w:val="14"/>
          <w:color w:val="auto"/>
        </w:rPr>
        <w:t>This prospectus provides you with a general descripton of the securites that may be ofered. Each tme we sell securites, we will provide one or more prospectus supplements that will contain specifc informaton about the terms of the ofering. The prospectus supplement may also add, update or change informaton contained in this prospectus. You should read both this prospectus and any applicable prospectus supplement together with the additonal informaton described under the heading “Where You Can Find More Informaton” and “Incorporaton by Reference.”</w:t>
      </w:r>
    </w:p>
    <w:p>
      <w:pPr>
        <w:spacing w:after="0" w:line="171" w:lineRule="exact"/>
        <w:rPr>
          <w:sz w:val="20"/>
          <w:szCs w:val="20"/>
          <w:color w:val="auto"/>
        </w:rPr>
      </w:pPr>
    </w:p>
    <w:p>
      <w:pPr>
        <w:ind w:left="220" w:right="239" w:firstLine="343"/>
        <w:spacing w:after="0" w:line="235" w:lineRule="auto"/>
        <w:rPr>
          <w:sz w:val="20"/>
          <w:szCs w:val="20"/>
          <w:color w:val="auto"/>
        </w:rPr>
      </w:pPr>
      <w:r>
        <w:rPr>
          <w:rFonts w:ascii="Calibri" w:cs="Calibri" w:eastAsia="Calibri" w:hAnsi="Calibri"/>
          <w:sz w:val="14"/>
          <w:szCs w:val="14"/>
          <w:color w:val="auto"/>
        </w:rPr>
        <w:t>We have not authorized anyone to provide you with informaton that is diferent from that contained, or incorporated by reference, in this prospectus, any applicable prospectus supplement or in any related free writng prospectus. We take no responsibility for, and can provide no assurance as to the reliability of, any other informaton that others may give you. This prospectus and any applicable prospectus supplement or any related free writng prospectus do not consttute an ofer to sell or the solicitaton of an ofer to buy any securites other than the securites described in the applicable prospectus supplement or an ofer to sell or the solicitaton of an ofer to buy such securites in any circumstances in which such ofer or solicitaton is unlawful. You should assume that the informaton appearing in this prospectus, any prospectus supplement, the documents incorporated by reference and any related free writng prospectus is accurate only as of their respectve dates. Our business, fnancial conditon, results of operatons and prospects may have changed materially since those dates.</w:t>
      </w:r>
    </w:p>
    <w:p>
      <w:pPr>
        <w:spacing w:after="0" w:line="117" w:lineRule="exact"/>
        <w:rPr>
          <w:sz w:val="20"/>
          <w:szCs w:val="20"/>
          <w:color w:val="auto"/>
        </w:rPr>
      </w:pPr>
    </w:p>
    <w:p>
      <w:pPr>
        <w:jc w:val="center"/>
        <w:ind w:right="19"/>
        <w:spacing w:after="0"/>
        <w:rPr>
          <w:sz w:val="20"/>
          <w:szCs w:val="20"/>
          <w:color w:val="auto"/>
        </w:rPr>
      </w:pPr>
      <w:r>
        <w:rPr>
          <w:rFonts w:ascii="Calibri" w:cs="Calibri" w:eastAsia="Calibri" w:hAnsi="Calibri"/>
          <w:sz w:val="14"/>
          <w:szCs w:val="14"/>
          <w:color w:val="auto"/>
        </w:rPr>
        <w:t>-ii-</w:t>
      </w:r>
    </w:p>
    <w:p>
      <w:pPr>
        <w:sectPr>
          <w:pgSz w:w="11900" w:h="16838" w:orient="portrait"/>
          <w:cols w:equalWidth="0" w:num="1">
            <w:col w:w="9019"/>
          </w:cols>
          <w:pgMar w:left="1440" w:top="234" w:right="1440" w:bottom="1440" w:gutter="0" w:footer="0" w:header="0"/>
        </w:sectPr>
      </w:pPr>
    </w:p>
    <w:bookmarkStart w:id="43" w:name="page44"/>
    <w:bookmarkEnd w:id="43"/>
    <w:p>
      <w:pPr>
        <w:jc w:val="center"/>
        <w:ind w:right="19"/>
        <w:spacing w:after="0"/>
        <w:rPr>
          <w:sz w:val="20"/>
          <w:szCs w:val="20"/>
          <w:color w:val="auto"/>
        </w:rPr>
      </w:pPr>
      <w:r>
        <w:rPr>
          <w:rFonts w:ascii="Calibri" w:cs="Calibri" w:eastAsia="Calibri" w:hAnsi="Calibri"/>
          <w:sz w:val="14"/>
          <w:szCs w:val="14"/>
          <w:b w:val="1"/>
          <w:bCs w:val="1"/>
          <w:color w:val="auto"/>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9">
                      <a:extLst>
                        <a:ext uri="{28A0092B-C50C-407E-A947-70E740481C1C}"/>
                      </a:extLst>
                    </a:blip>
                    <a:srcRect/>
                    <a:stretch>
                      <a:fillRect/>
                    </a:stretch>
                  </pic:blipFill>
                  <pic:spPr bwMode="auto">
                    <a:xfrm>
                      <a:off x="0" y="0"/>
                      <a:ext cx="7201535" cy="33020"/>
                    </a:xfrm>
                    <a:prstGeom prst="rect">
                      <a:avLst/>
                    </a:prstGeom>
                    <a:noFill/>
                  </pic:spPr>
                </pic:pic>
              </a:graphicData>
            </a:graphic>
          </wp:anchor>
        </w:drawing>
        <w:t>PROSPECTUS SUMMARY</w:t>
      </w:r>
    </w:p>
    <w:p>
      <w:pPr>
        <w:spacing w:after="0" w:line="169" w:lineRule="exact"/>
        <w:rPr>
          <w:sz w:val="20"/>
          <w:szCs w:val="20"/>
          <w:color w:val="auto"/>
        </w:rPr>
      </w:pPr>
    </w:p>
    <w:p>
      <w:pPr>
        <w:ind w:left="220" w:right="239" w:firstLine="343"/>
        <w:spacing w:after="0" w:line="235" w:lineRule="auto"/>
        <w:rPr>
          <w:sz w:val="20"/>
          <w:szCs w:val="20"/>
          <w:color w:val="auto"/>
        </w:rPr>
      </w:pPr>
      <w:r>
        <w:rPr>
          <w:rFonts w:ascii="Calibri" w:cs="Calibri" w:eastAsia="Calibri" w:hAnsi="Calibri"/>
          <w:sz w:val="14"/>
          <w:szCs w:val="14"/>
          <w:i w:val="1"/>
          <w:iCs w:val="1"/>
          <w:color w:val="auto"/>
        </w:rPr>
        <w:t>This summary highlights selected informaton that is presented in greater detail elsewhere, or incorporated by reference, in this prospectus. It does not contain all of the informaton that may be important to you and your investment decision. Before investng in our securites, you should carefully read this entre prospectus, including the maters set forth under the secton of this prospectus captoned “Risk Factors” and the fnancial statements and related notes and other informaton that we incorporate by reference herein, including our Annual Report on Form 10-K, our Quarterly Reports on Form 10-Q and Current Reports on Form 8-K. Unless the context indicates otherwise, references in this prospectus to “Enliven Therapeutcs, Inc.,” “Enliven,” “we,” “our” and “us” refer, collectvely, to Enliven Therapeutcs, Inc., a Delaware corporaton.</w:t>
      </w:r>
    </w:p>
    <w:p>
      <w:pPr>
        <w:spacing w:after="0" w:line="252" w:lineRule="exact"/>
        <w:rPr>
          <w:sz w:val="20"/>
          <w:szCs w:val="20"/>
          <w:color w:val="auto"/>
        </w:rPr>
      </w:pPr>
    </w:p>
    <w:p>
      <w:pPr>
        <w:ind w:left="220"/>
        <w:spacing w:after="0"/>
        <w:rPr>
          <w:sz w:val="20"/>
          <w:szCs w:val="20"/>
          <w:color w:val="auto"/>
        </w:rPr>
      </w:pPr>
      <w:r>
        <w:rPr>
          <w:rFonts w:ascii="Calibri" w:cs="Calibri" w:eastAsia="Calibri" w:hAnsi="Calibri"/>
          <w:sz w:val="14"/>
          <w:szCs w:val="14"/>
          <w:b w:val="1"/>
          <w:bCs w:val="1"/>
          <w:color w:val="auto"/>
        </w:rPr>
        <w:t>Company Overview</w:t>
      </w:r>
    </w:p>
    <w:p>
      <w:pPr>
        <w:spacing w:after="0" w:line="85" w:lineRule="exact"/>
        <w:rPr>
          <w:sz w:val="20"/>
          <w:szCs w:val="20"/>
          <w:color w:val="auto"/>
        </w:rPr>
      </w:pPr>
    </w:p>
    <w:p>
      <w:pPr>
        <w:ind w:left="220" w:right="239" w:firstLine="343"/>
        <w:spacing w:after="0" w:line="235" w:lineRule="auto"/>
        <w:rPr>
          <w:sz w:val="20"/>
          <w:szCs w:val="20"/>
          <w:color w:val="auto"/>
        </w:rPr>
      </w:pPr>
      <w:r>
        <w:rPr>
          <w:rFonts w:ascii="Calibri" w:cs="Calibri" w:eastAsia="Calibri" w:hAnsi="Calibri"/>
          <w:sz w:val="14"/>
          <w:szCs w:val="14"/>
          <w:color w:val="auto"/>
        </w:rPr>
        <w:t>We are a clinical-stage biopharmaceutcal company focused on the discovery and development of small molecule therapeutcs to help people not only live longer, but live beter. We aim to address existng and emerging unmet needs with a precision oncology approach that improves survival and enhances overall well-being. Our discovery process combines deep insights in clinically validated biological targets and diferentated chemistry with the goal of designing therapies for unmet needs. By combining clinically validated targets and specifc target product profles with disciplined clinical trial design and regulatory strategy, we aim to develop drugs with an increased probability of clinical and commercial success. Clinically validated targets refers to biological targets that have demonstrated statstcal signifcance on efcacy endpoints in published third-party clinical trials. We have assembled a team of seasoned drug hunters with signifcant expertse in discovery and development of small molecule therapeutcs. Our team includes leading chemists who have been the primary or co-inventors of over 20 product candidates that have been advanced to clinical trials, including four U.S. Food and Drug Administraton (“FDA”) approved products at their prior companies: Koselugo (selumetnib), Mektovi (binimetnib), Tukysa (tucatnib), and Retevmo (selpercatnib). We are currently advancing ELVN-001, as well as pursuing several additonal research stage opportunites that align with our development approach. To prioritze the advancement of ELVN-001 and its upcoming pivotal trial, we are exploring strategic alternatves for the ELVN-002 program, and we do not intend to pursue its development beyond 2025.</w:t>
      </w:r>
    </w:p>
    <w:p>
      <w:pPr>
        <w:spacing w:after="0" w:line="173" w:lineRule="exact"/>
        <w:rPr>
          <w:sz w:val="20"/>
          <w:szCs w:val="20"/>
          <w:color w:val="auto"/>
        </w:rPr>
      </w:pPr>
    </w:p>
    <w:p>
      <w:pPr>
        <w:ind w:left="560"/>
        <w:spacing w:after="0"/>
        <w:rPr>
          <w:sz w:val="20"/>
          <w:szCs w:val="20"/>
          <w:color w:val="auto"/>
        </w:rPr>
      </w:pPr>
      <w:r>
        <w:rPr>
          <w:rFonts w:ascii="Calibri" w:cs="Calibri" w:eastAsia="Calibri" w:hAnsi="Calibri"/>
          <w:sz w:val="14"/>
          <w:szCs w:val="14"/>
          <w:color w:val="auto"/>
        </w:rPr>
        <w:t>The following table summarizes our ELVN-001 and ELVN-002 programs: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852805</wp:posOffset>
            </wp:positionH>
            <wp:positionV relativeFrom="paragraph">
              <wp:posOffset>132080</wp:posOffset>
            </wp:positionV>
            <wp:extent cx="4015105" cy="80010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70">
                      <a:extLst>
                        <a:ext uri="{28A0092B-C50C-407E-A947-70E740481C1C}"/>
                      </a:extLst>
                    </a:blip>
                    <a:srcRect/>
                    <a:stretch>
                      <a:fillRect/>
                    </a:stretch>
                  </pic:blipFill>
                  <pic:spPr bwMode="auto">
                    <a:xfrm>
                      <a:off x="0" y="0"/>
                      <a:ext cx="4015105" cy="8001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ind w:left="220" w:right="279" w:firstLine="343"/>
        <w:spacing w:after="0" w:line="235" w:lineRule="auto"/>
        <w:rPr>
          <w:sz w:val="20"/>
          <w:szCs w:val="20"/>
          <w:color w:val="auto"/>
        </w:rPr>
      </w:pPr>
      <w:r>
        <w:rPr>
          <w:rFonts w:ascii="Calibri" w:cs="Calibri" w:eastAsia="Calibri" w:hAnsi="Calibri"/>
          <w:sz w:val="14"/>
          <w:szCs w:val="14"/>
          <w:color w:val="auto"/>
        </w:rPr>
        <w:t>ELVN-001 is a potent, highly selectve, small molecule kinase inhibitor designed to specifcally target the breakpoint cluster region – Abelson (“BCR-ABL”) gene fusion, the oncogenic driver for patents with chronic myeloid leukemia (“CML”). Although the approval of BCR-ABL tyrosine kinase inhibitors (“TKIs”) has signifcantly improved the life expectancy of patents with CML, tolerability, safety, resistance and patent convenience concerns have become more prominent as patents can now expect to live on therapy for decades. Achieving this survival beneft requires contnuous daily therapy, and all available actve-site TKIs have of-target actvity resultng in treatment-related adverse events and drug discontnuaton due to intolerance or resistance. These issues can result in the loss of molecular response and disease progression for many patents and drive approximately 25% of patents to switch therapy within the frst year of therapy and approximately 40% to switch in the frst 5 years of therapy. These factors, prolonged treatment course, of-target toxicites, and</w:t>
      </w:r>
    </w:p>
    <w:p>
      <w:pPr>
        <w:spacing w:after="0" w:line="117" w:lineRule="exact"/>
        <w:rPr>
          <w:sz w:val="20"/>
          <w:szCs w:val="20"/>
          <w:color w:val="auto"/>
        </w:rPr>
      </w:pPr>
    </w:p>
    <w:p>
      <w:pPr>
        <w:jc w:val="center"/>
        <w:ind w:right="19"/>
        <w:spacing w:after="0"/>
        <w:rPr>
          <w:sz w:val="20"/>
          <w:szCs w:val="20"/>
          <w:color w:val="auto"/>
        </w:rPr>
      </w:pPr>
      <w:r>
        <w:rPr>
          <w:rFonts w:ascii="Calibri" w:cs="Calibri" w:eastAsia="Calibri" w:hAnsi="Calibri"/>
          <w:sz w:val="14"/>
          <w:szCs w:val="14"/>
          <w:color w:val="auto"/>
        </w:rPr>
        <w:t>-1-</w:t>
      </w:r>
    </w:p>
    <w:p>
      <w:pPr>
        <w:sectPr>
          <w:pgSz w:w="11900" w:h="16838" w:orient="portrait"/>
          <w:cols w:equalWidth="0" w:num="1">
            <w:col w:w="9019"/>
          </w:cols>
          <w:pgMar w:left="1440" w:top="234" w:right="1440" w:bottom="1440" w:gutter="0" w:footer="0" w:header="0"/>
        </w:sectPr>
      </w:pPr>
    </w:p>
    <w:bookmarkStart w:id="44" w:name="page45"/>
    <w:bookmarkEnd w:id="44"/>
    <w:p>
      <w:pPr>
        <w:ind w:left="220" w:right="359"/>
        <w:spacing w:after="0" w:line="235" w:lineRule="auto"/>
        <w:rPr>
          <w:sz w:val="20"/>
          <w:szCs w:val="20"/>
          <w:color w:val="auto"/>
        </w:rPr>
      </w:pPr>
      <w:r>
        <w:rPr>
          <w:rFonts w:ascii="Calibri" w:cs="Calibri" w:eastAsia="Calibri" w:hAnsi="Calibri"/>
          <w:sz w:val="14"/>
          <w:szCs w:val="14"/>
          <w:color w:val="auto"/>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71">
                      <a:extLst>
                        <a:ext uri="{28A0092B-C50C-407E-A947-70E740481C1C}"/>
                      </a:extLst>
                    </a:blip>
                    <a:srcRect/>
                    <a:stretch>
                      <a:fillRect/>
                    </a:stretch>
                  </pic:blipFill>
                  <pic:spPr bwMode="auto">
                    <a:xfrm>
                      <a:off x="0" y="0"/>
                      <a:ext cx="7201535" cy="33020"/>
                    </a:xfrm>
                    <a:prstGeom prst="rect">
                      <a:avLst/>
                    </a:prstGeom>
                    <a:noFill/>
                  </pic:spPr>
                </pic:pic>
              </a:graphicData>
            </a:graphic>
          </wp:anchor>
        </w:drawing>
        <w:t>acquired resistance, explain why the global market for CML supports multple blockbuster products and why there remains signifcant unmet need for an efectve and more tolerable treatment.</w:t>
      </w:r>
    </w:p>
    <w:p>
      <w:pPr>
        <w:spacing w:after="0" w:line="169" w:lineRule="exact"/>
        <w:rPr>
          <w:sz w:val="20"/>
          <w:szCs w:val="20"/>
          <w:color w:val="auto"/>
        </w:rPr>
      </w:pPr>
    </w:p>
    <w:p>
      <w:pPr>
        <w:ind w:left="220" w:right="239" w:firstLine="343"/>
        <w:spacing w:after="0" w:line="257" w:lineRule="auto"/>
        <w:rPr>
          <w:sz w:val="20"/>
          <w:szCs w:val="20"/>
          <w:color w:val="auto"/>
        </w:rPr>
      </w:pPr>
      <w:r>
        <w:rPr>
          <w:rFonts w:ascii="Calibri" w:cs="Calibri" w:eastAsia="Calibri" w:hAnsi="Calibri"/>
          <w:sz w:val="13"/>
          <w:szCs w:val="13"/>
          <w:color w:val="auto"/>
        </w:rPr>
        <w:t>As a selectve actve site inhibitor, ELVN-001’s mechanism of acton potentally represents a complementary opton to allosteric BCR-ABL inhibitors (e.g., Scemblix), which may play an increasingly important role in the standard of care for CML. Specifcally, ELVN-001 was designed to have actvity against mutatons known to confer resistance to Scemblix. In the clinical data reported in 2024, ELVN-001 demonstrated actvity in patents with CML who had previously received asciminib, including in a patent whose CML had developed an emergent mutaton to asciminib. ELVN-001 was also designed to be a more atractve opton for patents with comorbidites, on concomitant medicatons or desiring more freedom from stringent administraton requirements.</w:t>
      </w:r>
    </w:p>
    <w:p>
      <w:pPr>
        <w:spacing w:after="0" w:line="159" w:lineRule="exact"/>
        <w:rPr>
          <w:sz w:val="20"/>
          <w:szCs w:val="20"/>
          <w:color w:val="auto"/>
        </w:rPr>
      </w:pPr>
    </w:p>
    <w:p>
      <w:pPr>
        <w:ind w:left="220" w:right="239" w:firstLine="343"/>
        <w:spacing w:after="0" w:line="235" w:lineRule="auto"/>
        <w:rPr>
          <w:sz w:val="20"/>
          <w:szCs w:val="20"/>
          <w:color w:val="auto"/>
        </w:rPr>
      </w:pPr>
      <w:r>
        <w:rPr>
          <w:rFonts w:ascii="Calibri" w:cs="Calibri" w:eastAsia="Calibri" w:hAnsi="Calibri"/>
          <w:sz w:val="14"/>
          <w:szCs w:val="14"/>
          <w:color w:val="auto"/>
        </w:rPr>
        <w:t>In June 2025, we announced positve updated data from the ongoing ENABLE Phase 1 clinical trial evaluatng ELVN-001 in patents with previously treated CML in an oral presentaton at the European Hematology Associaton Congress. As of the April 28, 2025, cutof date, 25 of 53 (47%) evaluable patents were in major molecular response (“MMR”) by 24 weeks, with 13 of 41 (32%) achieving and 12 of 12 (100%) maintaining MMR. ELVN-001 remains well-tolerated across all evaluated doses. These data contnued to compare favorably to precedent Phase 1 MMRs for approved BCR::ABL1 TKIs, partcularly given the more heavily pretreated patent populaton in the ELVN-001 clinical trial.</w:t>
      </w:r>
    </w:p>
    <w:p>
      <w:pPr>
        <w:spacing w:after="0" w:line="172" w:lineRule="exact"/>
        <w:rPr>
          <w:sz w:val="20"/>
          <w:szCs w:val="20"/>
          <w:color w:val="auto"/>
        </w:rPr>
      </w:pPr>
    </w:p>
    <w:p>
      <w:pPr>
        <w:ind w:left="220" w:right="379" w:firstLine="343"/>
        <w:spacing w:after="0" w:line="235" w:lineRule="auto"/>
        <w:rPr>
          <w:sz w:val="20"/>
          <w:szCs w:val="20"/>
          <w:color w:val="auto"/>
        </w:rPr>
      </w:pPr>
      <w:r>
        <w:rPr>
          <w:rFonts w:ascii="Calibri" w:cs="Calibri" w:eastAsia="Calibri" w:hAnsi="Calibri"/>
          <w:sz w:val="14"/>
          <w:szCs w:val="14"/>
          <w:color w:val="auto"/>
        </w:rPr>
        <w:t>We believe that our development approach, which is rooted in validated biology and diferentated chemistry, represents a unique opportunity for us to design and develop medicines with an improved therapeutc profle for patents. To capitalize on this opportunity, we contnue to support and advance our research pipeline in areas where we believe we can solve complex medicinal chemistry problems in a target- and indicaton-agnostc approach.</w:t>
      </w:r>
    </w:p>
    <w:p>
      <w:pPr>
        <w:spacing w:after="0" w:line="251" w:lineRule="exact"/>
        <w:rPr>
          <w:sz w:val="20"/>
          <w:szCs w:val="20"/>
          <w:color w:val="auto"/>
        </w:rPr>
      </w:pPr>
    </w:p>
    <w:p>
      <w:pPr>
        <w:ind w:left="220"/>
        <w:spacing w:after="0"/>
        <w:rPr>
          <w:sz w:val="20"/>
          <w:szCs w:val="20"/>
          <w:color w:val="auto"/>
        </w:rPr>
      </w:pPr>
      <w:r>
        <w:rPr>
          <w:rFonts w:ascii="Calibri" w:cs="Calibri" w:eastAsia="Calibri" w:hAnsi="Calibri"/>
          <w:sz w:val="14"/>
          <w:szCs w:val="14"/>
          <w:b w:val="1"/>
          <w:bCs w:val="1"/>
          <w:color w:val="auto"/>
        </w:rPr>
        <w:t>Corporate Informaton</w:t>
      </w:r>
    </w:p>
    <w:p>
      <w:pPr>
        <w:spacing w:after="0" w:line="85" w:lineRule="exact"/>
        <w:rPr>
          <w:sz w:val="20"/>
          <w:szCs w:val="20"/>
          <w:color w:val="auto"/>
        </w:rPr>
      </w:pPr>
    </w:p>
    <w:p>
      <w:pPr>
        <w:ind w:left="220" w:right="239" w:firstLine="343"/>
        <w:spacing w:after="0" w:line="235" w:lineRule="auto"/>
        <w:rPr>
          <w:sz w:val="20"/>
          <w:szCs w:val="20"/>
          <w:color w:val="auto"/>
        </w:rPr>
      </w:pPr>
      <w:r>
        <w:rPr>
          <w:rFonts w:ascii="Calibri" w:cs="Calibri" w:eastAsia="Calibri" w:hAnsi="Calibri"/>
          <w:sz w:val="14"/>
          <w:szCs w:val="14"/>
          <w:color w:val="auto"/>
        </w:rPr>
        <w:t>Enliven Inc. (formerly, Enliven Therapeutcs, Inc.) (“Former Enliven”) was incorporated in the State of Delaware in June 2019. On February 23, 2023, we completed our business combinaton with Former Enliven in accordance with the terms of the Agreement and Plan of Merger, dated October 13, 2022, by and among us, Former Enliven, and Iguana Merger Sub, Inc., a Delaware corporaton and our wholly owned subsidiary (“Merger Sub”), pursuant to which, among other maters, Merger Sub merged with and into Former Enliven, with Former Enliven contnuing as a wholly owned subsidiary of us and the surviving corporaton of the merger (the “Merger”). In connecton with the closing of the Merger, we efected a 1-for-4 reverse stock split and changed our name to Enliven Therapeutcs, Inc. Following the completon of the Merger, the business conducted by Former Enliven became the primary business conducted by us.</w:t>
      </w:r>
    </w:p>
    <w:p>
      <w:pPr>
        <w:spacing w:after="0" w:line="173" w:lineRule="exact"/>
        <w:rPr>
          <w:sz w:val="20"/>
          <w:szCs w:val="20"/>
          <w:color w:val="auto"/>
        </w:rPr>
      </w:pPr>
    </w:p>
    <w:p>
      <w:pPr>
        <w:jc w:val="both"/>
        <w:ind w:left="220" w:right="419" w:firstLine="343"/>
        <w:spacing w:after="0" w:line="235" w:lineRule="auto"/>
        <w:rPr>
          <w:sz w:val="20"/>
          <w:szCs w:val="20"/>
          <w:color w:val="auto"/>
        </w:rPr>
      </w:pPr>
      <w:r>
        <w:rPr>
          <w:rFonts w:ascii="Calibri" w:cs="Calibri" w:eastAsia="Calibri" w:hAnsi="Calibri"/>
          <w:sz w:val="14"/>
          <w:szCs w:val="14"/>
          <w:color w:val="auto"/>
        </w:rPr>
        <w:t>Our principal executve ofces are located at 6200 Lookout Road, Boulder, Colorado 80301. Our telephone number is 720-647-8519. Our website address is www.enliventherapeutcs.com. Informaton contained on, or that can be accessed through, our website or any website is not incorporated by reference into this prospectus and should not be considered to be part of this prospectus unless expressly noted.</w:t>
      </w:r>
    </w:p>
    <w:p>
      <w:pPr>
        <w:spacing w:after="0" w:line="170" w:lineRule="exact"/>
        <w:rPr>
          <w:sz w:val="20"/>
          <w:szCs w:val="20"/>
          <w:color w:val="auto"/>
        </w:rPr>
      </w:pPr>
    </w:p>
    <w:p>
      <w:pPr>
        <w:ind w:left="220" w:right="259" w:firstLine="343"/>
        <w:spacing w:after="0" w:line="235" w:lineRule="auto"/>
        <w:rPr>
          <w:sz w:val="20"/>
          <w:szCs w:val="20"/>
          <w:color w:val="auto"/>
        </w:rPr>
      </w:pPr>
      <w:r>
        <w:rPr>
          <w:rFonts w:ascii="Calibri" w:cs="Calibri" w:eastAsia="Calibri" w:hAnsi="Calibri"/>
          <w:sz w:val="14"/>
          <w:szCs w:val="14"/>
          <w:color w:val="auto"/>
        </w:rPr>
        <w:t>We may announce material informaton to the public through flings with the SEC, our website (www.enliventherapeutcs.com), press releases, public conference calls, and public webcasts. We use these channels, as well as social media, to communicate with the public about us, our product candidates and other maters. We also make available on or through our website certain reports and amendments to those reports that we fle with or furnish to the SEC in accordance with the Securites Exchange Act of 1934, as amended (the “Exchange Act”). These include our Annual Reports on Form 10-K, our Quarterly Reports on Form 10-Q, and our Current Reports on Form 8-K, and amendments to those reports fled or furnished pursuant to Secton 13(a) or 15(d) of the Exchange Act. We make this informaton available on or through our website free of charge as soon as reasonably practcable afer we electronically fle the informaton with, or furnish it to, the SEC. The SEC also maintains a website that contains our SEC flings. The address for the SEC website is www.sec.gov.</w:t>
      </w:r>
    </w:p>
    <w:p>
      <w:pPr>
        <w:spacing w:after="0" w:line="117" w:lineRule="exact"/>
        <w:rPr>
          <w:sz w:val="20"/>
          <w:szCs w:val="20"/>
          <w:color w:val="auto"/>
        </w:rPr>
      </w:pPr>
    </w:p>
    <w:p>
      <w:pPr>
        <w:jc w:val="center"/>
        <w:ind w:right="19"/>
        <w:spacing w:after="0"/>
        <w:rPr>
          <w:sz w:val="20"/>
          <w:szCs w:val="20"/>
          <w:color w:val="auto"/>
        </w:rPr>
      </w:pPr>
      <w:r>
        <w:rPr>
          <w:rFonts w:ascii="Calibri" w:cs="Calibri" w:eastAsia="Calibri" w:hAnsi="Calibri"/>
          <w:sz w:val="14"/>
          <w:szCs w:val="14"/>
          <w:color w:val="auto"/>
        </w:rPr>
        <w:t>-2-</w:t>
      </w:r>
    </w:p>
    <w:p>
      <w:pPr>
        <w:sectPr>
          <w:pgSz w:w="11900" w:h="16838" w:orient="portrait"/>
          <w:cols w:equalWidth="0" w:num="1">
            <w:col w:w="9019"/>
          </w:cols>
          <w:pgMar w:left="1440" w:top="238" w:right="1440" w:bottom="1440" w:gutter="0" w:footer="0" w:header="0"/>
        </w:sectPr>
      </w:pPr>
    </w:p>
    <w:bookmarkStart w:id="45" w:name="page46"/>
    <w:bookmarkEnd w:id="45"/>
    <w:p>
      <w:pPr>
        <w:ind w:left="220"/>
        <w:spacing w:after="0"/>
        <w:rPr>
          <w:sz w:val="20"/>
          <w:szCs w:val="20"/>
          <w:color w:val="auto"/>
        </w:rPr>
      </w:pPr>
      <w:r>
        <w:rPr>
          <w:rFonts w:ascii="Calibri" w:cs="Calibri" w:eastAsia="Calibri" w:hAnsi="Calibri"/>
          <w:sz w:val="14"/>
          <w:szCs w:val="14"/>
          <w:b w:val="1"/>
          <w:bCs w:val="1"/>
          <w:color w:val="auto"/>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72">
                      <a:extLst>
                        <a:ext uri="{28A0092B-C50C-407E-A947-70E740481C1C}"/>
                      </a:extLst>
                    </a:blip>
                    <a:srcRect/>
                    <a:stretch>
                      <a:fillRect/>
                    </a:stretch>
                  </pic:blipFill>
                  <pic:spPr bwMode="auto">
                    <a:xfrm>
                      <a:off x="0" y="0"/>
                      <a:ext cx="7201535" cy="32385"/>
                    </a:xfrm>
                    <a:prstGeom prst="rect">
                      <a:avLst/>
                    </a:prstGeom>
                    <a:noFill/>
                  </pic:spPr>
                </pic:pic>
              </a:graphicData>
            </a:graphic>
          </wp:anchor>
        </w:drawing>
        <w:t>The Securites that may be Ofered</w:t>
      </w:r>
    </w:p>
    <w:p>
      <w:pPr>
        <w:spacing w:after="0" w:line="85" w:lineRule="exact"/>
        <w:rPr>
          <w:sz w:val="20"/>
          <w:szCs w:val="20"/>
          <w:color w:val="auto"/>
        </w:rPr>
      </w:pPr>
    </w:p>
    <w:p>
      <w:pPr>
        <w:ind w:left="220" w:right="239" w:firstLine="343"/>
        <w:spacing w:after="0" w:line="235" w:lineRule="auto"/>
        <w:rPr>
          <w:sz w:val="20"/>
          <w:szCs w:val="20"/>
          <w:color w:val="auto"/>
        </w:rPr>
      </w:pPr>
      <w:r>
        <w:rPr>
          <w:rFonts w:ascii="Calibri" w:cs="Calibri" w:eastAsia="Calibri" w:hAnsi="Calibri"/>
          <w:sz w:val="14"/>
          <w:szCs w:val="14"/>
          <w:color w:val="auto"/>
        </w:rPr>
        <w:t>We may ofer or sell common stock, preferred stock, depositary shares, debt securites, warrants, subscripton rights, purchase contracts and units in one or more oferings and in any combinaton. Each tme securites are ofered with this prospectus, we will provide a prospectus supplement that will describe the specifc amounts, prices and terms of the securites being ofered and the net proceeds we expect to receive from that sale.</w:t>
      </w:r>
    </w:p>
    <w:p>
      <w:pPr>
        <w:spacing w:after="0" w:line="170" w:lineRule="exact"/>
        <w:rPr>
          <w:sz w:val="20"/>
          <w:szCs w:val="20"/>
          <w:color w:val="auto"/>
        </w:rPr>
      </w:pPr>
    </w:p>
    <w:p>
      <w:pPr>
        <w:ind w:left="220" w:right="459" w:firstLine="343"/>
        <w:spacing w:after="0" w:line="260" w:lineRule="auto"/>
        <w:rPr>
          <w:sz w:val="20"/>
          <w:szCs w:val="20"/>
          <w:color w:val="auto"/>
        </w:rPr>
      </w:pPr>
      <w:r>
        <w:rPr>
          <w:rFonts w:ascii="Calibri" w:cs="Calibri" w:eastAsia="Calibri" w:hAnsi="Calibri"/>
          <w:sz w:val="13"/>
          <w:szCs w:val="13"/>
          <w:color w:val="auto"/>
        </w:rPr>
        <w:t>The securites may be sold to or through underwriters, dealers or agents or directly to purchasers or as otherwise set forth in the secton of this prospectus captoned “Plan of Distributon.” Each prospectus supplement will set forth the names of any underwriters, dealers, agents or other enttes involved in the sale of securites described in that prospectus supplement and any applicable fee, commission or discount arrangements with them.</w:t>
      </w:r>
    </w:p>
    <w:p>
      <w:pPr>
        <w:spacing w:after="0" w:line="237" w:lineRule="exact"/>
        <w:rPr>
          <w:sz w:val="20"/>
          <w:szCs w:val="20"/>
          <w:color w:val="auto"/>
        </w:rPr>
      </w:pPr>
    </w:p>
    <w:p>
      <w:pPr>
        <w:ind w:left="220"/>
        <w:spacing w:after="0"/>
        <w:rPr>
          <w:sz w:val="20"/>
          <w:szCs w:val="20"/>
          <w:color w:val="auto"/>
        </w:rPr>
      </w:pPr>
      <w:r>
        <w:rPr>
          <w:rFonts w:ascii="Calibri" w:cs="Calibri" w:eastAsia="Calibri" w:hAnsi="Calibri"/>
          <w:sz w:val="14"/>
          <w:szCs w:val="14"/>
          <w:b w:val="1"/>
          <w:bCs w:val="1"/>
          <w:i w:val="1"/>
          <w:iCs w:val="1"/>
          <w:color w:val="auto"/>
        </w:rPr>
        <w:t>Common Stock</w:t>
      </w:r>
    </w:p>
    <w:p>
      <w:pPr>
        <w:spacing w:after="0" w:line="85" w:lineRule="exact"/>
        <w:rPr>
          <w:sz w:val="20"/>
          <w:szCs w:val="20"/>
          <w:color w:val="auto"/>
        </w:rPr>
      </w:pPr>
    </w:p>
    <w:p>
      <w:pPr>
        <w:ind w:left="220" w:right="459" w:firstLine="343"/>
        <w:spacing w:after="0" w:line="235" w:lineRule="auto"/>
        <w:rPr>
          <w:sz w:val="20"/>
          <w:szCs w:val="20"/>
          <w:color w:val="auto"/>
        </w:rPr>
      </w:pPr>
      <w:r>
        <w:rPr>
          <w:rFonts w:ascii="Calibri" w:cs="Calibri" w:eastAsia="Calibri" w:hAnsi="Calibri"/>
          <w:sz w:val="14"/>
          <w:szCs w:val="14"/>
          <w:color w:val="auto"/>
        </w:rPr>
        <w:t>We may ofer shares of our common stock, par value $0.001 per share, either alone or underlying other registered securites convertble into our common stock. Holders of our common stock are enttled to receive dividends declared by our board of directors out of funds legally available for the payment of dividends, subject to rights, if any, of preferred stockholders. We have not paid dividends in the past and have no current plans to pay dividends. Each holder of common stock is enttled to one vote per share. The holders of common stock have no preemptve rights.</w:t>
      </w:r>
    </w:p>
    <w:p>
      <w:pPr>
        <w:spacing w:after="0" w:line="251" w:lineRule="exact"/>
        <w:rPr>
          <w:sz w:val="20"/>
          <w:szCs w:val="20"/>
          <w:color w:val="auto"/>
        </w:rPr>
      </w:pPr>
    </w:p>
    <w:p>
      <w:pPr>
        <w:ind w:left="220"/>
        <w:spacing w:after="0"/>
        <w:rPr>
          <w:sz w:val="20"/>
          <w:szCs w:val="20"/>
          <w:color w:val="auto"/>
        </w:rPr>
      </w:pPr>
      <w:r>
        <w:rPr>
          <w:rFonts w:ascii="Calibri" w:cs="Calibri" w:eastAsia="Calibri" w:hAnsi="Calibri"/>
          <w:sz w:val="14"/>
          <w:szCs w:val="14"/>
          <w:b w:val="1"/>
          <w:bCs w:val="1"/>
          <w:i w:val="1"/>
          <w:iCs w:val="1"/>
          <w:color w:val="auto"/>
        </w:rPr>
        <w:t>Preferred Stock</w:t>
      </w:r>
    </w:p>
    <w:p>
      <w:pPr>
        <w:spacing w:after="0" w:line="85" w:lineRule="exact"/>
        <w:rPr>
          <w:sz w:val="20"/>
          <w:szCs w:val="20"/>
          <w:color w:val="auto"/>
        </w:rPr>
      </w:pPr>
    </w:p>
    <w:p>
      <w:pPr>
        <w:ind w:left="220" w:right="259" w:firstLine="343"/>
        <w:spacing w:after="0" w:line="235" w:lineRule="auto"/>
        <w:rPr>
          <w:sz w:val="20"/>
          <w:szCs w:val="20"/>
          <w:color w:val="auto"/>
        </w:rPr>
      </w:pPr>
      <w:r>
        <w:rPr>
          <w:rFonts w:ascii="Calibri" w:cs="Calibri" w:eastAsia="Calibri" w:hAnsi="Calibri"/>
          <w:sz w:val="14"/>
          <w:szCs w:val="14"/>
          <w:color w:val="auto"/>
        </w:rPr>
        <w:t>Our board of directors has the authority, subject to limitatons prescribed by Delaware law, to issue preferred stock in one or more series, to establish from tme to tme the number of shares to be included in each series, and to fx the designaton, powers, preferences and rights of the shares of each series and any of its qualifcatons, limitatons or restrictons, in each case without further vote or acton by our stockholders. Each series of preferred stock ofered by us will be more fully described in the partcular prospectus supplement that will accompany this prospectus, including redempton provisions, rights in the event of our liquidaton, dissoluton or winding up, votng rights and rights to convert into common stock.</w:t>
      </w:r>
    </w:p>
    <w:p>
      <w:pPr>
        <w:spacing w:after="0" w:line="252" w:lineRule="exact"/>
        <w:rPr>
          <w:sz w:val="20"/>
          <w:szCs w:val="20"/>
          <w:color w:val="auto"/>
        </w:rPr>
      </w:pPr>
    </w:p>
    <w:p>
      <w:pPr>
        <w:ind w:left="220"/>
        <w:spacing w:after="0"/>
        <w:rPr>
          <w:sz w:val="20"/>
          <w:szCs w:val="20"/>
          <w:color w:val="auto"/>
        </w:rPr>
      </w:pPr>
      <w:r>
        <w:rPr>
          <w:rFonts w:ascii="Calibri" w:cs="Calibri" w:eastAsia="Calibri" w:hAnsi="Calibri"/>
          <w:sz w:val="14"/>
          <w:szCs w:val="14"/>
          <w:b w:val="1"/>
          <w:bCs w:val="1"/>
          <w:i w:val="1"/>
          <w:iCs w:val="1"/>
          <w:color w:val="auto"/>
        </w:rPr>
        <w:t>Depositary Shares</w:t>
      </w:r>
    </w:p>
    <w:p>
      <w:pPr>
        <w:spacing w:after="0" w:line="81" w:lineRule="exact"/>
        <w:rPr>
          <w:sz w:val="20"/>
          <w:szCs w:val="20"/>
          <w:color w:val="auto"/>
        </w:rPr>
      </w:pPr>
    </w:p>
    <w:p>
      <w:pPr>
        <w:ind w:left="560"/>
        <w:spacing w:after="0"/>
        <w:rPr>
          <w:sz w:val="20"/>
          <w:szCs w:val="20"/>
          <w:color w:val="auto"/>
        </w:rPr>
      </w:pPr>
      <w:r>
        <w:rPr>
          <w:rFonts w:ascii="Calibri" w:cs="Calibri" w:eastAsia="Calibri" w:hAnsi="Calibri"/>
          <w:sz w:val="14"/>
          <w:szCs w:val="14"/>
          <w:color w:val="auto"/>
        </w:rPr>
        <w:t>We may issue fractonal shares of preferred stock that will be represented by depositary shares and depositary receipts.</w:t>
      </w:r>
    </w:p>
    <w:p>
      <w:pPr>
        <w:spacing w:after="0" w:line="169" w:lineRule="exact"/>
        <w:rPr>
          <w:sz w:val="20"/>
          <w:szCs w:val="20"/>
          <w:color w:val="auto"/>
        </w:rPr>
      </w:pPr>
    </w:p>
    <w:p>
      <w:pPr>
        <w:jc w:val="both"/>
        <w:ind w:left="220" w:right="419" w:firstLine="343"/>
        <w:spacing w:after="0" w:line="235" w:lineRule="auto"/>
        <w:rPr>
          <w:sz w:val="20"/>
          <w:szCs w:val="20"/>
          <w:color w:val="auto"/>
        </w:rPr>
      </w:pPr>
      <w:r>
        <w:rPr>
          <w:rFonts w:ascii="Calibri" w:cs="Calibri" w:eastAsia="Calibri" w:hAnsi="Calibri"/>
          <w:sz w:val="14"/>
          <w:szCs w:val="14"/>
          <w:color w:val="auto"/>
        </w:rPr>
        <w:t>Each series of depositary shares or depositary receipts ofered by us will be more fully described in the partcular prospectus supplement that will accompany this prospectus, including redempton provisions, rights in the event of our liquidaton, dissoluton or winding up, votng rights and rights to convert into common stock.</w:t>
      </w:r>
    </w:p>
    <w:p>
      <w:pPr>
        <w:spacing w:after="0" w:line="250" w:lineRule="exact"/>
        <w:rPr>
          <w:sz w:val="20"/>
          <w:szCs w:val="20"/>
          <w:color w:val="auto"/>
        </w:rPr>
      </w:pPr>
    </w:p>
    <w:p>
      <w:pPr>
        <w:ind w:left="220"/>
        <w:spacing w:after="0"/>
        <w:rPr>
          <w:sz w:val="20"/>
          <w:szCs w:val="20"/>
          <w:color w:val="auto"/>
        </w:rPr>
      </w:pPr>
      <w:r>
        <w:rPr>
          <w:rFonts w:ascii="Calibri" w:cs="Calibri" w:eastAsia="Calibri" w:hAnsi="Calibri"/>
          <w:sz w:val="14"/>
          <w:szCs w:val="14"/>
          <w:b w:val="1"/>
          <w:bCs w:val="1"/>
          <w:i w:val="1"/>
          <w:iCs w:val="1"/>
          <w:color w:val="auto"/>
        </w:rPr>
        <w:t>Debt Securites</w:t>
      </w:r>
    </w:p>
    <w:p>
      <w:pPr>
        <w:spacing w:after="0" w:line="85" w:lineRule="exact"/>
        <w:rPr>
          <w:sz w:val="20"/>
          <w:szCs w:val="20"/>
          <w:color w:val="auto"/>
        </w:rPr>
      </w:pPr>
    </w:p>
    <w:p>
      <w:pPr>
        <w:ind w:left="220" w:right="279" w:firstLine="343"/>
        <w:spacing w:after="0" w:line="235" w:lineRule="auto"/>
        <w:rPr>
          <w:sz w:val="20"/>
          <w:szCs w:val="20"/>
          <w:color w:val="auto"/>
        </w:rPr>
      </w:pPr>
      <w:r>
        <w:rPr>
          <w:rFonts w:ascii="Calibri" w:cs="Calibri" w:eastAsia="Calibri" w:hAnsi="Calibri"/>
          <w:sz w:val="14"/>
          <w:szCs w:val="14"/>
          <w:color w:val="auto"/>
        </w:rPr>
        <w:t>We may ofer secured or unsecured obligatons in the form of one or more series of senior or subordinated debt. The senior debt securites and the subordinated debt securites are together referred to in this prospectus as the “debt securites.” The subordinated debt securites generally will be enttled to payment only afer payment of our senior debt. Senior debt generally includes all debt for money borrowed by us, except debt that is stated in the instrument governing the terms of that debt to be not senior to, or to have the same rank in right of payment as, or to be expressly junior to, the subordinated debt securites. We may issue debt securites that are convertble into shares of our common stock.</w:t>
      </w:r>
    </w:p>
    <w:p>
      <w:pPr>
        <w:spacing w:after="0" w:line="115" w:lineRule="exact"/>
        <w:rPr>
          <w:sz w:val="20"/>
          <w:szCs w:val="20"/>
          <w:color w:val="auto"/>
        </w:rPr>
      </w:pPr>
    </w:p>
    <w:p>
      <w:pPr>
        <w:jc w:val="center"/>
        <w:spacing w:after="0"/>
        <w:rPr>
          <w:sz w:val="20"/>
          <w:szCs w:val="20"/>
          <w:color w:val="auto"/>
        </w:rPr>
      </w:pPr>
      <w:r>
        <w:rPr>
          <w:rFonts w:ascii="Calibri" w:cs="Calibri" w:eastAsia="Calibri" w:hAnsi="Calibri"/>
          <w:sz w:val="14"/>
          <w:szCs w:val="14"/>
          <w:color w:val="auto"/>
        </w:rPr>
        <w:t>-3-</w:t>
      </w:r>
    </w:p>
    <w:p>
      <w:pPr>
        <w:sectPr>
          <w:pgSz w:w="11900" w:h="16838" w:orient="portrait"/>
          <w:cols w:equalWidth="0" w:num="1">
            <w:col w:w="9019"/>
          </w:cols>
          <w:pgMar w:left="1440" w:top="234" w:right="1440" w:bottom="1440" w:gutter="0" w:footer="0" w:header="0"/>
        </w:sectPr>
      </w:pPr>
    </w:p>
    <w:bookmarkStart w:id="46" w:name="page47"/>
    <w:bookmarkEnd w:id="46"/>
    <w:p>
      <w:pPr>
        <w:ind w:left="220" w:right="359" w:firstLine="343"/>
        <w:spacing w:after="0" w:line="235" w:lineRule="auto"/>
        <w:rPr>
          <w:sz w:val="20"/>
          <w:szCs w:val="20"/>
          <w:color w:val="auto"/>
        </w:rPr>
      </w:pPr>
      <w:r>
        <w:rPr>
          <w:rFonts w:ascii="Calibri" w:cs="Calibri" w:eastAsia="Calibri" w:hAnsi="Calibri"/>
          <w:sz w:val="14"/>
          <w:szCs w:val="14"/>
          <w:color w:val="auto"/>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73">
                      <a:extLst>
                        <a:ext uri="{28A0092B-C50C-407E-A947-70E740481C1C}"/>
                      </a:extLst>
                    </a:blip>
                    <a:srcRect/>
                    <a:stretch>
                      <a:fillRect/>
                    </a:stretch>
                  </pic:blipFill>
                  <pic:spPr bwMode="auto">
                    <a:xfrm>
                      <a:off x="0" y="0"/>
                      <a:ext cx="7201535" cy="32385"/>
                    </a:xfrm>
                    <a:prstGeom prst="rect">
                      <a:avLst/>
                    </a:prstGeom>
                    <a:noFill/>
                  </pic:spPr>
                </pic:pic>
              </a:graphicData>
            </a:graphic>
          </wp:anchor>
        </w:drawing>
        <w:t>The debt securites will be issued under an indenture between us and a trustee to be identfed in an accompanying prospectus supplement. We have summarized the general features of the debt securites to be governed by the indenture in this prospectus and the form of indenture has been fled as an exhibit to the registraton statement of which this prospectus forms a part. We encourage you to read the indenture.</w:t>
      </w:r>
    </w:p>
    <w:p>
      <w:pPr>
        <w:spacing w:after="0" w:line="250" w:lineRule="exact"/>
        <w:rPr>
          <w:sz w:val="20"/>
          <w:szCs w:val="20"/>
          <w:color w:val="auto"/>
        </w:rPr>
      </w:pPr>
    </w:p>
    <w:p>
      <w:pPr>
        <w:ind w:left="220"/>
        <w:spacing w:after="0"/>
        <w:rPr>
          <w:sz w:val="20"/>
          <w:szCs w:val="20"/>
          <w:color w:val="auto"/>
        </w:rPr>
      </w:pPr>
      <w:r>
        <w:rPr>
          <w:rFonts w:ascii="Calibri" w:cs="Calibri" w:eastAsia="Calibri" w:hAnsi="Calibri"/>
          <w:sz w:val="14"/>
          <w:szCs w:val="14"/>
          <w:b w:val="1"/>
          <w:bCs w:val="1"/>
          <w:i w:val="1"/>
          <w:iCs w:val="1"/>
          <w:color w:val="auto"/>
        </w:rPr>
        <w:t>Warrants</w:t>
      </w:r>
    </w:p>
    <w:p>
      <w:pPr>
        <w:spacing w:after="0" w:line="85" w:lineRule="exact"/>
        <w:rPr>
          <w:sz w:val="20"/>
          <w:szCs w:val="20"/>
          <w:color w:val="auto"/>
        </w:rPr>
      </w:pPr>
    </w:p>
    <w:p>
      <w:pPr>
        <w:ind w:left="220" w:right="999" w:firstLine="343"/>
        <w:spacing w:after="0" w:line="235" w:lineRule="auto"/>
        <w:rPr>
          <w:sz w:val="20"/>
          <w:szCs w:val="20"/>
          <w:color w:val="auto"/>
        </w:rPr>
      </w:pPr>
      <w:r>
        <w:rPr>
          <w:rFonts w:ascii="Calibri" w:cs="Calibri" w:eastAsia="Calibri" w:hAnsi="Calibri"/>
          <w:sz w:val="14"/>
          <w:szCs w:val="14"/>
          <w:color w:val="auto"/>
        </w:rPr>
        <w:t>We may ofer warrants for the purchase of common stock, preferred stock, debt securites or depositary shares. We may ofer warrants independently or together with other securites.</w:t>
      </w:r>
    </w:p>
    <w:p>
      <w:pPr>
        <w:spacing w:after="0" w:line="250" w:lineRule="exact"/>
        <w:rPr>
          <w:sz w:val="20"/>
          <w:szCs w:val="20"/>
          <w:color w:val="auto"/>
        </w:rPr>
      </w:pPr>
    </w:p>
    <w:p>
      <w:pPr>
        <w:ind w:left="220"/>
        <w:spacing w:after="0"/>
        <w:rPr>
          <w:sz w:val="20"/>
          <w:szCs w:val="20"/>
          <w:color w:val="auto"/>
        </w:rPr>
      </w:pPr>
      <w:r>
        <w:rPr>
          <w:rFonts w:ascii="Calibri" w:cs="Calibri" w:eastAsia="Calibri" w:hAnsi="Calibri"/>
          <w:sz w:val="14"/>
          <w:szCs w:val="14"/>
          <w:b w:val="1"/>
          <w:bCs w:val="1"/>
          <w:i w:val="1"/>
          <w:iCs w:val="1"/>
          <w:color w:val="auto"/>
        </w:rPr>
        <w:t>Subscripton Rights</w:t>
      </w:r>
    </w:p>
    <w:p>
      <w:pPr>
        <w:spacing w:after="0" w:line="85" w:lineRule="exact"/>
        <w:rPr>
          <w:sz w:val="20"/>
          <w:szCs w:val="20"/>
          <w:color w:val="auto"/>
        </w:rPr>
      </w:pPr>
    </w:p>
    <w:p>
      <w:pPr>
        <w:ind w:left="220" w:right="259" w:firstLine="343"/>
        <w:spacing w:after="0" w:line="235" w:lineRule="auto"/>
        <w:rPr>
          <w:sz w:val="20"/>
          <w:szCs w:val="20"/>
          <w:color w:val="auto"/>
        </w:rPr>
      </w:pPr>
      <w:r>
        <w:rPr>
          <w:rFonts w:ascii="Calibri" w:cs="Calibri" w:eastAsia="Calibri" w:hAnsi="Calibri"/>
          <w:sz w:val="14"/>
          <w:szCs w:val="14"/>
          <w:color w:val="auto"/>
        </w:rPr>
        <w:t>We may ofer subscripton rights to purchase our common stock, preferred stock, debt securites, depositary shares, warrants or units consistng of some or all of these securites. These subscripton rights may be ofered independently or together with any other security ofered hereby and may or may not be transferable by the stockholder receiving the subscripton rights in such ofering.</w:t>
      </w:r>
    </w:p>
    <w:p>
      <w:pPr>
        <w:spacing w:after="0" w:line="250" w:lineRule="exact"/>
        <w:rPr>
          <w:sz w:val="20"/>
          <w:szCs w:val="20"/>
          <w:color w:val="auto"/>
        </w:rPr>
      </w:pPr>
    </w:p>
    <w:p>
      <w:pPr>
        <w:ind w:left="220"/>
        <w:spacing w:after="0"/>
        <w:rPr>
          <w:sz w:val="20"/>
          <w:szCs w:val="20"/>
          <w:color w:val="auto"/>
        </w:rPr>
      </w:pPr>
      <w:r>
        <w:rPr>
          <w:rFonts w:ascii="Calibri" w:cs="Calibri" w:eastAsia="Calibri" w:hAnsi="Calibri"/>
          <w:sz w:val="14"/>
          <w:szCs w:val="14"/>
          <w:b w:val="1"/>
          <w:bCs w:val="1"/>
          <w:i w:val="1"/>
          <w:iCs w:val="1"/>
          <w:color w:val="auto"/>
        </w:rPr>
        <w:t>Purchase Contracts</w:t>
      </w:r>
    </w:p>
    <w:p>
      <w:pPr>
        <w:spacing w:after="0" w:line="85" w:lineRule="exact"/>
        <w:rPr>
          <w:sz w:val="20"/>
          <w:szCs w:val="20"/>
          <w:color w:val="auto"/>
        </w:rPr>
      </w:pPr>
    </w:p>
    <w:p>
      <w:pPr>
        <w:ind w:left="220" w:right="339" w:firstLine="343"/>
        <w:spacing w:after="0" w:line="235" w:lineRule="auto"/>
        <w:rPr>
          <w:sz w:val="20"/>
          <w:szCs w:val="20"/>
          <w:color w:val="auto"/>
        </w:rPr>
      </w:pPr>
      <w:r>
        <w:rPr>
          <w:rFonts w:ascii="Calibri" w:cs="Calibri" w:eastAsia="Calibri" w:hAnsi="Calibri"/>
          <w:sz w:val="14"/>
          <w:szCs w:val="14"/>
          <w:color w:val="auto"/>
        </w:rPr>
        <w:t>We may ofer purchase contracts, including contracts obligatng holders or us to purchase from the other a specifc or variable number of securites at a future date or dates.</w:t>
      </w:r>
    </w:p>
    <w:p>
      <w:pPr>
        <w:spacing w:after="0" w:line="250" w:lineRule="exact"/>
        <w:rPr>
          <w:sz w:val="20"/>
          <w:szCs w:val="20"/>
          <w:color w:val="auto"/>
        </w:rPr>
      </w:pPr>
    </w:p>
    <w:p>
      <w:pPr>
        <w:ind w:left="220"/>
        <w:spacing w:after="0"/>
        <w:rPr>
          <w:sz w:val="20"/>
          <w:szCs w:val="20"/>
          <w:color w:val="auto"/>
        </w:rPr>
      </w:pPr>
      <w:r>
        <w:rPr>
          <w:rFonts w:ascii="Calibri" w:cs="Calibri" w:eastAsia="Calibri" w:hAnsi="Calibri"/>
          <w:sz w:val="14"/>
          <w:szCs w:val="14"/>
          <w:b w:val="1"/>
          <w:bCs w:val="1"/>
          <w:i w:val="1"/>
          <w:iCs w:val="1"/>
          <w:color w:val="auto"/>
        </w:rPr>
        <w:t>Units</w:t>
      </w:r>
    </w:p>
    <w:p>
      <w:pPr>
        <w:spacing w:after="0" w:line="85" w:lineRule="exact"/>
        <w:rPr>
          <w:sz w:val="20"/>
          <w:szCs w:val="20"/>
          <w:color w:val="auto"/>
        </w:rPr>
      </w:pPr>
    </w:p>
    <w:p>
      <w:pPr>
        <w:ind w:left="220" w:right="479" w:firstLine="343"/>
        <w:spacing w:after="0" w:line="235" w:lineRule="auto"/>
        <w:rPr>
          <w:sz w:val="20"/>
          <w:szCs w:val="20"/>
          <w:color w:val="auto"/>
        </w:rPr>
      </w:pPr>
      <w:r>
        <w:rPr>
          <w:rFonts w:ascii="Calibri" w:cs="Calibri" w:eastAsia="Calibri" w:hAnsi="Calibri"/>
          <w:sz w:val="14"/>
          <w:szCs w:val="14"/>
          <w:color w:val="auto"/>
        </w:rPr>
        <w:t>We may ofer units comprised of one or more of the other classes of securites described in this prospectus in any combinaton. Each unit will be issued so that the holder of the unit is also the holder of each security included in the unit.</w:t>
      </w:r>
    </w:p>
    <w:p>
      <w:pPr>
        <w:spacing w:after="0" w:line="113" w:lineRule="exact"/>
        <w:rPr>
          <w:sz w:val="20"/>
          <w:szCs w:val="20"/>
          <w:color w:val="auto"/>
        </w:rPr>
      </w:pPr>
    </w:p>
    <w:p>
      <w:pPr>
        <w:jc w:val="center"/>
        <w:spacing w:after="0"/>
        <w:rPr>
          <w:sz w:val="20"/>
          <w:szCs w:val="20"/>
          <w:color w:val="auto"/>
        </w:rPr>
      </w:pPr>
      <w:r>
        <w:rPr>
          <w:rFonts w:ascii="Calibri" w:cs="Calibri" w:eastAsia="Calibri" w:hAnsi="Calibri"/>
          <w:sz w:val="14"/>
          <w:szCs w:val="14"/>
          <w:color w:val="auto"/>
        </w:rPr>
        <w:t>-4-</w:t>
      </w:r>
    </w:p>
    <w:p>
      <w:pPr>
        <w:sectPr>
          <w:pgSz w:w="11900" w:h="16838" w:orient="portrait"/>
          <w:cols w:equalWidth="0" w:num="1">
            <w:col w:w="9019"/>
          </w:cols>
          <w:pgMar w:left="1440" w:top="238" w:right="1440" w:bottom="1440" w:gutter="0" w:footer="0" w:header="0"/>
        </w:sectPr>
      </w:pPr>
    </w:p>
    <w:bookmarkStart w:id="47" w:name="page48"/>
    <w:bookmarkEnd w:id="47"/>
    <w:p>
      <w:pPr>
        <w:jc w:val="center"/>
        <w:spacing w:after="0"/>
        <w:rPr>
          <w:sz w:val="20"/>
          <w:szCs w:val="20"/>
          <w:color w:val="auto"/>
        </w:rPr>
      </w:pPr>
      <w:r>
        <w:rPr>
          <w:rFonts w:ascii="Calibri" w:cs="Calibri" w:eastAsia="Calibri" w:hAnsi="Calibri"/>
          <w:sz w:val="14"/>
          <w:szCs w:val="14"/>
          <w:b w:val="1"/>
          <w:bCs w:val="1"/>
          <w:color w:val="auto"/>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74">
                      <a:extLst>
                        <a:ext uri="{28A0092B-C50C-407E-A947-70E740481C1C}"/>
                      </a:extLst>
                    </a:blip>
                    <a:srcRect/>
                    <a:stretch>
                      <a:fillRect/>
                    </a:stretch>
                  </pic:blipFill>
                  <pic:spPr bwMode="auto">
                    <a:xfrm>
                      <a:off x="0" y="0"/>
                      <a:ext cx="7201535" cy="32385"/>
                    </a:xfrm>
                    <a:prstGeom prst="rect">
                      <a:avLst/>
                    </a:prstGeom>
                    <a:noFill/>
                  </pic:spPr>
                </pic:pic>
              </a:graphicData>
            </a:graphic>
          </wp:anchor>
        </w:drawing>
        <w:t>RISK FACTORS</w:t>
      </w:r>
    </w:p>
    <w:p>
      <w:pPr>
        <w:spacing w:after="0" w:line="169" w:lineRule="exact"/>
        <w:rPr>
          <w:sz w:val="20"/>
          <w:szCs w:val="20"/>
          <w:color w:val="auto"/>
        </w:rPr>
      </w:pPr>
    </w:p>
    <w:p>
      <w:pPr>
        <w:ind w:left="220" w:right="259" w:firstLine="343"/>
        <w:spacing w:after="0" w:line="255" w:lineRule="auto"/>
        <w:rPr>
          <w:sz w:val="20"/>
          <w:szCs w:val="20"/>
          <w:color w:val="auto"/>
        </w:rPr>
      </w:pPr>
      <w:r>
        <w:rPr>
          <w:rFonts w:ascii="Calibri" w:cs="Calibri" w:eastAsia="Calibri" w:hAnsi="Calibri"/>
          <w:sz w:val="13"/>
          <w:szCs w:val="13"/>
          <w:color w:val="auto"/>
        </w:rPr>
        <w:t>An investment in our securites involves a high degree of risk. The prospectus supplement applicable to each ofering of our securites will contain a discussion of the risks applicable to an investment in our securites. Prior to making a decision about investng in our securites, you should carefully consider the specifc factors discussed under the secton in the applicable prospectus supplement captoned “Risk Factors,” together with all of the other informaton contained or incorporated by reference in the prospectus supplement or appearing or incorporated by reference in this prospectus. You should also consider the risks, uncertaintes and assumptons discussed in “Part II-Item 1A-Risk Factors” in our most recent Quarterly Report on Form 10-Q that are incorporated herein by reference, as may be amended, supplemented or superseded from tme to tme by other reports we fle with the SEC in the future. The risks and uncertaintes we have described are not the only ones we face. Additonal risks and uncertaintes not presently known to us or that we currently deem immaterial may also afect our operatons. See “Where You Can Find More Informaton” and “Incorporaton by Reference.”</w:t>
      </w:r>
    </w:p>
    <w:p>
      <w:pPr>
        <w:spacing w:after="0" w:line="107" w:lineRule="exact"/>
        <w:rPr>
          <w:sz w:val="20"/>
          <w:szCs w:val="20"/>
          <w:color w:val="auto"/>
        </w:rPr>
      </w:pPr>
    </w:p>
    <w:p>
      <w:pPr>
        <w:jc w:val="center"/>
        <w:spacing w:after="0"/>
        <w:rPr>
          <w:sz w:val="20"/>
          <w:szCs w:val="20"/>
          <w:color w:val="auto"/>
        </w:rPr>
      </w:pPr>
      <w:r>
        <w:rPr>
          <w:rFonts w:ascii="Calibri" w:cs="Calibri" w:eastAsia="Calibri" w:hAnsi="Calibri"/>
          <w:sz w:val="14"/>
          <w:szCs w:val="14"/>
          <w:color w:val="auto"/>
        </w:rPr>
        <w:t>-5-</w:t>
      </w:r>
    </w:p>
    <w:p>
      <w:pPr>
        <w:sectPr>
          <w:pgSz w:w="11900" w:h="16838" w:orient="portrait"/>
          <w:cols w:equalWidth="0" w:num="1">
            <w:col w:w="9019"/>
          </w:cols>
          <w:pgMar w:left="1440" w:top="234" w:right="1440" w:bottom="1440" w:gutter="0" w:footer="0" w:header="0"/>
        </w:sectPr>
      </w:pPr>
    </w:p>
    <w:bookmarkStart w:id="48" w:name="page49"/>
    <w:bookmarkEnd w:id="48"/>
    <w:p>
      <w:pPr>
        <w:jc w:val="center"/>
        <w:spacing w:after="0"/>
        <w:rPr>
          <w:sz w:val="20"/>
          <w:szCs w:val="20"/>
          <w:color w:val="auto"/>
        </w:rPr>
      </w:pPr>
      <w:r>
        <w:rPr>
          <w:rFonts w:ascii="Calibri" w:cs="Calibri" w:eastAsia="Calibri" w:hAnsi="Calibri"/>
          <w:sz w:val="14"/>
          <w:szCs w:val="14"/>
          <w:b w:val="1"/>
          <w:bCs w:val="1"/>
          <w:color w:val="auto"/>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75">
                      <a:extLst>
                        <a:ext uri="{28A0092B-C50C-407E-A947-70E740481C1C}"/>
                      </a:extLst>
                    </a:blip>
                    <a:srcRect/>
                    <a:stretch>
                      <a:fillRect/>
                    </a:stretch>
                  </pic:blipFill>
                  <pic:spPr bwMode="auto">
                    <a:xfrm>
                      <a:off x="0" y="0"/>
                      <a:ext cx="7201535" cy="32385"/>
                    </a:xfrm>
                    <a:prstGeom prst="rect">
                      <a:avLst/>
                    </a:prstGeom>
                    <a:noFill/>
                  </pic:spPr>
                </pic:pic>
              </a:graphicData>
            </a:graphic>
          </wp:anchor>
        </w:drawing>
        <w:t>FORWARD-LOOKING STATEMENTS</w:t>
      </w:r>
    </w:p>
    <w:p>
      <w:pPr>
        <w:spacing w:after="0" w:line="169" w:lineRule="exact"/>
        <w:rPr>
          <w:sz w:val="20"/>
          <w:szCs w:val="20"/>
          <w:color w:val="auto"/>
        </w:rPr>
      </w:pPr>
    </w:p>
    <w:p>
      <w:pPr>
        <w:ind w:left="220" w:right="239" w:firstLine="343"/>
        <w:spacing w:after="0" w:line="255" w:lineRule="auto"/>
        <w:rPr>
          <w:sz w:val="20"/>
          <w:szCs w:val="20"/>
          <w:color w:val="auto"/>
        </w:rPr>
      </w:pPr>
      <w:r>
        <w:rPr>
          <w:rFonts w:ascii="Calibri" w:cs="Calibri" w:eastAsia="Calibri" w:hAnsi="Calibri"/>
          <w:sz w:val="13"/>
          <w:szCs w:val="13"/>
          <w:color w:val="auto"/>
        </w:rPr>
        <w:t>This prospectus, each prospectus supplement and the informaton incorporated by reference in this prospectus and each prospectus supplement contain certain statements that consttute “forward-looking statements” within the meaning of Secton 27A of the Securites Act and Secton 21E of the Exchange Act. The words “believe,” “may,” “will,” “estmate,” “contnue,” “antcipate,” “intend,” “expect,” “could,” “would,” “project,” “plan,” “potentally,” “likely,” and similar expressions and variatons thereof are intended to identfy forward-looking statements, but are not the exclusive means of identfying such statements. Those statements appear in this prospectus, any accompanying prospectus supplement and the documents incorporated herein and therein by reference, partcularly in the sectons captoned “Risk Factors” and “Management’s Discussion and Analysis of Financial Conditon and Results of Operatons” and include statements regarding the intent, belief or current expectatons of our management that are subject to known and unknown risks, uncertaintes and assumptons. You are cautoned that any such forward-looking statements are not guarantees of future performance and involve risks and uncertaintes, and that actual results may difer materially from those projected in the forward-looking statements as a result of various factors, including risks and uncertaintes described in our current and future flings with the SEC.</w:t>
      </w:r>
    </w:p>
    <w:p>
      <w:pPr>
        <w:spacing w:after="0" w:line="162" w:lineRule="exact"/>
        <w:rPr>
          <w:sz w:val="20"/>
          <w:szCs w:val="20"/>
          <w:color w:val="auto"/>
        </w:rPr>
      </w:pPr>
    </w:p>
    <w:p>
      <w:pPr>
        <w:ind w:left="220" w:right="339" w:firstLine="343"/>
        <w:spacing w:after="0" w:line="257" w:lineRule="auto"/>
        <w:rPr>
          <w:sz w:val="20"/>
          <w:szCs w:val="20"/>
          <w:color w:val="auto"/>
        </w:rPr>
      </w:pPr>
      <w:r>
        <w:rPr>
          <w:rFonts w:ascii="Calibri" w:cs="Calibri" w:eastAsia="Calibri" w:hAnsi="Calibri"/>
          <w:sz w:val="13"/>
          <w:szCs w:val="13"/>
          <w:color w:val="auto"/>
        </w:rPr>
        <w:t>Because forward-looking statements are inherently subject to risks and uncertaintes, some of which cannot be predicted or quantfed, you should not rely upon forward-looking statements as predictons of future events. The events and circumstances refected in the forward-looking statements may not be achieved or occur and actual results could difer materially from those projected in the forward-looking statements. Except as required by applicable law, including the securites laws of the United States and the rules and regulatons of the SEC, we do not plan to publicly update or revise any forward-looking statements contained herein afer we distribute this prospectus, whether as a result of any new informaton, future events or otherwise.</w:t>
      </w:r>
    </w:p>
    <w:p>
      <w:pPr>
        <w:spacing w:after="0" w:line="159" w:lineRule="exact"/>
        <w:rPr>
          <w:sz w:val="20"/>
          <w:szCs w:val="20"/>
          <w:color w:val="auto"/>
        </w:rPr>
      </w:pPr>
    </w:p>
    <w:p>
      <w:pPr>
        <w:ind w:left="220" w:right="259" w:firstLine="343"/>
        <w:spacing w:after="0" w:line="235" w:lineRule="auto"/>
        <w:rPr>
          <w:sz w:val="20"/>
          <w:szCs w:val="20"/>
          <w:color w:val="auto"/>
        </w:rPr>
      </w:pPr>
      <w:r>
        <w:rPr>
          <w:rFonts w:ascii="Calibri" w:cs="Calibri" w:eastAsia="Calibri" w:hAnsi="Calibri"/>
          <w:sz w:val="14"/>
          <w:szCs w:val="14"/>
          <w:color w:val="auto"/>
        </w:rPr>
        <w:t>In additon, statements that “we believe” and similar statements refect our beliefs and opinions on the relevant subject. These statements are based upon informaton available to us as of the date of this prospectus, and although we believe such informaton forms a reasonable basis for such statements, such informaton may be limited or incomplete, and our statements should not be read to indicate that we have conducted a thorough inquiry into, or review of, all potentally available relevant informaton. These statements are inherently uncertain and investors are cautoned not to unduly rely upon these statements.</w:t>
      </w:r>
    </w:p>
    <w:p>
      <w:pPr>
        <w:spacing w:after="0" w:line="172" w:lineRule="exact"/>
        <w:rPr>
          <w:sz w:val="20"/>
          <w:szCs w:val="20"/>
          <w:color w:val="auto"/>
        </w:rPr>
      </w:pPr>
    </w:p>
    <w:p>
      <w:pPr>
        <w:ind w:left="220" w:right="379" w:firstLine="343"/>
        <w:spacing w:after="0" w:line="235" w:lineRule="auto"/>
        <w:rPr>
          <w:sz w:val="20"/>
          <w:szCs w:val="20"/>
          <w:color w:val="auto"/>
        </w:rPr>
      </w:pPr>
      <w:r>
        <w:rPr>
          <w:rFonts w:ascii="Calibri" w:cs="Calibri" w:eastAsia="Calibri" w:hAnsi="Calibri"/>
          <w:sz w:val="14"/>
          <w:szCs w:val="14"/>
          <w:color w:val="auto"/>
        </w:rPr>
        <w:t>This prospectus and the documents incorporated by reference in this prospectus may contain market data that we obtain from industry sources. These sources do not guarantee the accuracy or completeness of the informaton. Although we believe that our industry sources are reliable, we do not independently verify the informaton. The market data may include projectons that are based on a number of other projectons. While we believe these assumptons to be reasonable and sound as of the date of this prospectus, actual results may difer from the projectons.</w:t>
      </w:r>
    </w:p>
    <w:p>
      <w:pPr>
        <w:spacing w:after="0" w:line="114" w:lineRule="exact"/>
        <w:rPr>
          <w:sz w:val="20"/>
          <w:szCs w:val="20"/>
          <w:color w:val="auto"/>
        </w:rPr>
      </w:pPr>
    </w:p>
    <w:p>
      <w:pPr>
        <w:jc w:val="center"/>
        <w:spacing w:after="0"/>
        <w:rPr>
          <w:sz w:val="20"/>
          <w:szCs w:val="20"/>
          <w:color w:val="auto"/>
        </w:rPr>
      </w:pPr>
      <w:r>
        <w:rPr>
          <w:rFonts w:ascii="Calibri" w:cs="Calibri" w:eastAsia="Calibri" w:hAnsi="Calibri"/>
          <w:sz w:val="14"/>
          <w:szCs w:val="14"/>
          <w:color w:val="auto"/>
        </w:rPr>
        <w:t>-6-</w:t>
      </w:r>
    </w:p>
    <w:p>
      <w:pPr>
        <w:sectPr>
          <w:pgSz w:w="11900" w:h="16838" w:orient="portrait"/>
          <w:cols w:equalWidth="0" w:num="1">
            <w:col w:w="9019"/>
          </w:cols>
          <w:pgMar w:left="1440" w:top="234" w:right="1440" w:bottom="1440" w:gutter="0" w:footer="0" w:header="0"/>
        </w:sectPr>
      </w:pPr>
    </w:p>
    <w:bookmarkStart w:id="49" w:name="page50"/>
    <w:bookmarkEnd w:id="49"/>
    <w:p>
      <w:pPr>
        <w:jc w:val="center"/>
        <w:spacing w:after="0"/>
        <w:rPr>
          <w:sz w:val="20"/>
          <w:szCs w:val="20"/>
          <w:color w:val="auto"/>
        </w:rPr>
      </w:pPr>
      <w:r>
        <w:rPr>
          <w:rFonts w:ascii="Calibri" w:cs="Calibri" w:eastAsia="Calibri" w:hAnsi="Calibri"/>
          <w:sz w:val="14"/>
          <w:szCs w:val="14"/>
          <w:b w:val="1"/>
          <w:bCs w:val="1"/>
          <w:color w:val="auto"/>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76">
                      <a:extLst>
                        <a:ext uri="{28A0092B-C50C-407E-A947-70E740481C1C}"/>
                      </a:extLst>
                    </a:blip>
                    <a:srcRect/>
                    <a:stretch>
                      <a:fillRect/>
                    </a:stretch>
                  </pic:blipFill>
                  <pic:spPr bwMode="auto">
                    <a:xfrm>
                      <a:off x="0" y="0"/>
                      <a:ext cx="7201535" cy="32385"/>
                    </a:xfrm>
                    <a:prstGeom prst="rect">
                      <a:avLst/>
                    </a:prstGeom>
                    <a:noFill/>
                  </pic:spPr>
                </pic:pic>
              </a:graphicData>
            </a:graphic>
          </wp:anchor>
        </w:drawing>
        <w:t>USE OF PROCEEDS</w:t>
      </w:r>
    </w:p>
    <w:p>
      <w:pPr>
        <w:spacing w:after="0" w:line="169" w:lineRule="exact"/>
        <w:rPr>
          <w:sz w:val="20"/>
          <w:szCs w:val="20"/>
          <w:color w:val="auto"/>
        </w:rPr>
      </w:pPr>
    </w:p>
    <w:p>
      <w:pPr>
        <w:jc w:val="both"/>
        <w:ind w:left="220" w:right="339" w:firstLine="343"/>
        <w:spacing w:after="0" w:line="235" w:lineRule="auto"/>
        <w:rPr>
          <w:sz w:val="20"/>
          <w:szCs w:val="20"/>
          <w:color w:val="auto"/>
        </w:rPr>
      </w:pPr>
      <w:r>
        <w:rPr>
          <w:rFonts w:ascii="Calibri" w:cs="Calibri" w:eastAsia="Calibri" w:hAnsi="Calibri"/>
          <w:sz w:val="14"/>
          <w:szCs w:val="14"/>
          <w:color w:val="auto"/>
        </w:rPr>
        <w:t>We will set forth in the prospectus supplement our intended use for the net proceeds received from the sale of any securites. We will retain broad discreton over the use of the net proceeds to us from the sale of our securites under this prospectus. Pending our use of the net proceeds from the sale of our securites, we intend to invest the net proceeds in short- and intermediate-term, investment grade, interest-bearing securites.</w:t>
      </w:r>
    </w:p>
    <w:p>
      <w:pPr>
        <w:spacing w:after="0" w:line="114" w:lineRule="exact"/>
        <w:rPr>
          <w:sz w:val="20"/>
          <w:szCs w:val="20"/>
          <w:color w:val="auto"/>
        </w:rPr>
      </w:pPr>
    </w:p>
    <w:p>
      <w:pPr>
        <w:jc w:val="center"/>
        <w:spacing w:after="0"/>
        <w:rPr>
          <w:sz w:val="20"/>
          <w:szCs w:val="20"/>
          <w:color w:val="auto"/>
        </w:rPr>
      </w:pPr>
      <w:r>
        <w:rPr>
          <w:rFonts w:ascii="Calibri" w:cs="Calibri" w:eastAsia="Calibri" w:hAnsi="Calibri"/>
          <w:sz w:val="14"/>
          <w:szCs w:val="14"/>
          <w:color w:val="auto"/>
        </w:rPr>
        <w:t>-7-</w:t>
      </w:r>
    </w:p>
    <w:p>
      <w:pPr>
        <w:sectPr>
          <w:pgSz w:w="11900" w:h="16838" w:orient="portrait"/>
          <w:cols w:equalWidth="0" w:num="1">
            <w:col w:w="9019"/>
          </w:cols>
          <w:pgMar w:left="1440" w:top="234" w:right="1440" w:bottom="1440" w:gutter="0" w:footer="0" w:header="0"/>
        </w:sectPr>
      </w:pPr>
    </w:p>
    <w:bookmarkStart w:id="50" w:name="page51"/>
    <w:bookmarkEnd w:id="50"/>
    <w:p>
      <w:pPr>
        <w:jc w:val="center"/>
        <w:spacing w:after="0"/>
        <w:rPr>
          <w:sz w:val="20"/>
          <w:szCs w:val="20"/>
          <w:color w:val="auto"/>
        </w:rPr>
      </w:pPr>
      <w:r>
        <w:rPr>
          <w:rFonts w:ascii="Calibri" w:cs="Calibri" w:eastAsia="Calibri" w:hAnsi="Calibri"/>
          <w:sz w:val="14"/>
          <w:szCs w:val="14"/>
          <w:b w:val="1"/>
          <w:bCs w:val="1"/>
          <w:color w:val="auto"/>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7">
                      <a:extLst>
                        <a:ext uri="{28A0092B-C50C-407E-A947-70E740481C1C}"/>
                      </a:extLst>
                    </a:blip>
                    <a:srcRect/>
                    <a:stretch>
                      <a:fillRect/>
                    </a:stretch>
                  </pic:blipFill>
                  <pic:spPr bwMode="auto">
                    <a:xfrm>
                      <a:off x="0" y="0"/>
                      <a:ext cx="7201535" cy="33020"/>
                    </a:xfrm>
                    <a:prstGeom prst="rect">
                      <a:avLst/>
                    </a:prstGeom>
                    <a:noFill/>
                  </pic:spPr>
                </pic:pic>
              </a:graphicData>
            </a:graphic>
          </wp:anchor>
        </w:drawing>
        <w:t>DESCRIPTION OF CAPITAL STOCK</w:t>
      </w:r>
    </w:p>
    <w:p>
      <w:pPr>
        <w:spacing w:after="0" w:line="169" w:lineRule="exact"/>
        <w:rPr>
          <w:sz w:val="20"/>
          <w:szCs w:val="20"/>
          <w:color w:val="auto"/>
        </w:rPr>
      </w:pPr>
    </w:p>
    <w:p>
      <w:pPr>
        <w:ind w:left="220" w:right="819" w:firstLine="343"/>
        <w:spacing w:after="0" w:line="235" w:lineRule="auto"/>
        <w:rPr>
          <w:rFonts w:ascii="Calibri" w:cs="Calibri" w:eastAsia="Calibri" w:hAnsi="Calibri"/>
          <w:sz w:val="14"/>
          <w:szCs w:val="14"/>
          <w:color w:val="auto"/>
        </w:rPr>
      </w:pPr>
      <w:r>
        <w:rPr>
          <w:rFonts w:ascii="Calibri" w:cs="Calibri" w:eastAsia="Calibri" w:hAnsi="Calibri"/>
          <w:sz w:val="14"/>
          <w:szCs w:val="14"/>
          <w:color w:val="auto"/>
        </w:rPr>
        <w:t xml:space="preserve">The descripton of our capital stock is incorporated by reference to Exhibit 4.2 to our Annual Report on Form 10-K for the fscal year ended December 31, 2024, fled with the SEC on </w:t>
      </w:r>
      <w:hyperlink r:id="rId78">
        <w:r>
          <w:rPr>
            <w:rFonts w:ascii="Calibri" w:cs="Calibri" w:eastAsia="Calibri" w:hAnsi="Calibri"/>
            <w:sz w:val="14"/>
            <w:szCs w:val="14"/>
            <w:u w:val="single" w:color="auto"/>
            <w:color w:val="0000EE"/>
          </w:rPr>
          <w:t>March 13, 2025</w:t>
        </w:r>
      </w:hyperlink>
      <w:r>
        <w:rPr>
          <w:rFonts w:ascii="Calibri" w:cs="Calibri" w:eastAsia="Calibri" w:hAnsi="Calibri"/>
          <w:sz w:val="14"/>
          <w:szCs w:val="14"/>
          <w:color w:val="auto"/>
        </w:rPr>
        <w:t>.</w:t>
      </w:r>
    </w:p>
    <w:p>
      <w:pPr>
        <w:spacing w:after="0" w:line="113" w:lineRule="exact"/>
        <w:rPr>
          <w:sz w:val="20"/>
          <w:szCs w:val="20"/>
          <w:color w:val="auto"/>
        </w:rPr>
      </w:pPr>
    </w:p>
    <w:p>
      <w:pPr>
        <w:jc w:val="center"/>
        <w:spacing w:after="0"/>
        <w:rPr>
          <w:sz w:val="20"/>
          <w:szCs w:val="20"/>
          <w:color w:val="auto"/>
        </w:rPr>
      </w:pPr>
      <w:r>
        <w:rPr>
          <w:rFonts w:ascii="Calibri" w:cs="Calibri" w:eastAsia="Calibri" w:hAnsi="Calibri"/>
          <w:sz w:val="14"/>
          <w:szCs w:val="14"/>
          <w:color w:val="auto"/>
        </w:rPr>
        <w:t>-8-</w:t>
      </w:r>
    </w:p>
    <w:p>
      <w:pPr>
        <w:sectPr>
          <w:pgSz w:w="11900" w:h="16838" w:orient="portrait"/>
          <w:cols w:equalWidth="0" w:num="1">
            <w:col w:w="9019"/>
          </w:cols>
          <w:pgMar w:left="1440" w:top="234" w:right="1440" w:bottom="1440" w:gutter="0" w:footer="0" w:header="0"/>
        </w:sectPr>
      </w:pPr>
    </w:p>
    <w:bookmarkStart w:id="51" w:name="page52"/>
    <w:bookmarkEnd w:id="51"/>
    <w:p>
      <w:pPr>
        <w:jc w:val="center"/>
        <w:ind w:right="19"/>
        <w:spacing w:after="0"/>
        <w:rPr>
          <w:sz w:val="20"/>
          <w:szCs w:val="20"/>
          <w:color w:val="auto"/>
        </w:rPr>
      </w:pPr>
      <w:r>
        <w:rPr>
          <w:rFonts w:ascii="Calibri" w:cs="Calibri" w:eastAsia="Calibri" w:hAnsi="Calibri"/>
          <w:sz w:val="14"/>
          <w:szCs w:val="14"/>
          <w:b w:val="1"/>
          <w:bCs w:val="1"/>
          <w:color w:val="auto"/>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9">
                      <a:extLst>
                        <a:ext uri="{28A0092B-C50C-407E-A947-70E740481C1C}"/>
                      </a:extLst>
                    </a:blip>
                    <a:srcRect/>
                    <a:stretch>
                      <a:fillRect/>
                    </a:stretch>
                  </pic:blipFill>
                  <pic:spPr bwMode="auto">
                    <a:xfrm>
                      <a:off x="0" y="0"/>
                      <a:ext cx="7201535" cy="33020"/>
                    </a:xfrm>
                    <a:prstGeom prst="rect">
                      <a:avLst/>
                    </a:prstGeom>
                    <a:noFill/>
                  </pic:spPr>
                </pic:pic>
              </a:graphicData>
            </a:graphic>
          </wp:anchor>
        </w:drawing>
        <w:t>DESCRIPTION OF DEBT SECURITIES</w:t>
      </w:r>
    </w:p>
    <w:p>
      <w:pPr>
        <w:spacing w:after="0" w:line="169" w:lineRule="exact"/>
        <w:rPr>
          <w:sz w:val="20"/>
          <w:szCs w:val="20"/>
          <w:color w:val="auto"/>
        </w:rPr>
      </w:pPr>
    </w:p>
    <w:p>
      <w:pPr>
        <w:ind w:left="220" w:right="239" w:firstLine="343"/>
        <w:spacing w:after="0" w:line="235" w:lineRule="auto"/>
        <w:rPr>
          <w:sz w:val="20"/>
          <w:szCs w:val="20"/>
          <w:color w:val="auto"/>
        </w:rPr>
      </w:pPr>
      <w:r>
        <w:rPr>
          <w:rFonts w:ascii="Calibri" w:cs="Calibri" w:eastAsia="Calibri" w:hAnsi="Calibri"/>
          <w:sz w:val="14"/>
          <w:szCs w:val="14"/>
          <w:color w:val="auto"/>
        </w:rPr>
        <w:t>The following descripton, together with the additonal informaton we include in any applicable prospectus supplement, summarizes certain general terms and provisions of the debt securites that we may ofer under this prospectus. When we ofer to sell a partcular series of debt securites, we will describe the specifc terms of the series in a supplement to this prospectus. We will also indicate in the supplement to what extent the general terms and provisions described in this prospectus apply to a partcular series of debt securites.</w:t>
      </w:r>
    </w:p>
    <w:p>
      <w:pPr>
        <w:spacing w:after="0" w:line="171" w:lineRule="exact"/>
        <w:rPr>
          <w:sz w:val="20"/>
          <w:szCs w:val="20"/>
          <w:color w:val="auto"/>
        </w:rPr>
      </w:pPr>
    </w:p>
    <w:p>
      <w:pPr>
        <w:jc w:val="both"/>
        <w:ind w:left="220" w:right="339" w:firstLine="343"/>
        <w:spacing w:after="0" w:line="235" w:lineRule="auto"/>
        <w:rPr>
          <w:sz w:val="20"/>
          <w:szCs w:val="20"/>
          <w:color w:val="auto"/>
        </w:rPr>
      </w:pPr>
      <w:r>
        <w:rPr>
          <w:rFonts w:ascii="Calibri" w:cs="Calibri" w:eastAsia="Calibri" w:hAnsi="Calibri"/>
          <w:sz w:val="14"/>
          <w:szCs w:val="14"/>
          <w:color w:val="auto"/>
        </w:rPr>
        <w:t>We may ofer debt securites either separately or together with, or upon the conversion or exercise of or in exchange for, other securites described in this prospectus. Debt securites may be our senior, senior subordinated or subordinated obligatons and, unless otherwise specifed in a supplement to this prospectus, the debt securites will be our direct, unsecured obligatons and may be issued in one or more series.</w:t>
      </w:r>
    </w:p>
    <w:p>
      <w:pPr>
        <w:spacing w:after="0" w:line="170" w:lineRule="exact"/>
        <w:rPr>
          <w:sz w:val="20"/>
          <w:szCs w:val="20"/>
          <w:color w:val="auto"/>
        </w:rPr>
      </w:pPr>
    </w:p>
    <w:p>
      <w:pPr>
        <w:ind w:left="220" w:right="239" w:firstLine="343"/>
        <w:spacing w:after="0" w:line="255" w:lineRule="auto"/>
        <w:rPr>
          <w:sz w:val="20"/>
          <w:szCs w:val="20"/>
          <w:color w:val="auto"/>
        </w:rPr>
      </w:pPr>
      <w:r>
        <w:rPr>
          <w:rFonts w:ascii="Calibri" w:cs="Calibri" w:eastAsia="Calibri" w:hAnsi="Calibri"/>
          <w:sz w:val="13"/>
          <w:szCs w:val="13"/>
          <w:color w:val="auto"/>
        </w:rPr>
        <w:t>The debt securites will be issued under an indenture between us and a trustee to be identfed in an accompanying prospectus supplement. We have summarized material provisions of the debt securites and select portons of the indenture below. The indenture will be qualifed under the Trust Indenture Act of 1939, as amended (the “Trust Indenture Act”). The summary is not complete and is subject to, and qualifed in its entrety by reference to, all of the provisions of the indenture applicable to a partcular series of debt securites. The form of the indenture has been fled as an exhibit to the registraton statement of which this prospectus forms a part and you should read the indenture for provisions that may be important to you. Supplemental indentures and forms of debt securites containing the terms of the debt securites being ofered will be fled as exhibits to the registraton statement of which this prospectus is a part or will be incorporated by reference from reports that we fle with the SEC, as applicable. Capitalized terms used in the summary and not defned herein have the meanings specifed in the indenture. Unless the context requires otherwise, whenever we refer to an indenture, we also are referring to any supplemental indentures or forms of debt securites that specify the terms of a partcular series of debt securites.</w:t>
      </w:r>
    </w:p>
    <w:p>
      <w:pPr>
        <w:spacing w:after="0" w:line="243" w:lineRule="exact"/>
        <w:rPr>
          <w:sz w:val="20"/>
          <w:szCs w:val="20"/>
          <w:color w:val="auto"/>
        </w:rPr>
      </w:pPr>
    </w:p>
    <w:p>
      <w:pPr>
        <w:ind w:left="220"/>
        <w:spacing w:after="0"/>
        <w:rPr>
          <w:sz w:val="20"/>
          <w:szCs w:val="20"/>
          <w:color w:val="auto"/>
        </w:rPr>
      </w:pPr>
      <w:r>
        <w:rPr>
          <w:rFonts w:ascii="Calibri" w:cs="Calibri" w:eastAsia="Calibri" w:hAnsi="Calibri"/>
          <w:sz w:val="14"/>
          <w:szCs w:val="14"/>
          <w:b w:val="1"/>
          <w:bCs w:val="1"/>
          <w:color w:val="auto"/>
        </w:rPr>
        <w:t>General</w:t>
      </w:r>
    </w:p>
    <w:p>
      <w:pPr>
        <w:spacing w:after="0" w:line="85" w:lineRule="exact"/>
        <w:rPr>
          <w:sz w:val="20"/>
          <w:szCs w:val="20"/>
          <w:color w:val="auto"/>
        </w:rPr>
      </w:pPr>
    </w:p>
    <w:p>
      <w:pPr>
        <w:jc w:val="both"/>
        <w:ind w:left="220" w:right="259" w:firstLine="343"/>
        <w:spacing w:after="0" w:line="260" w:lineRule="auto"/>
        <w:rPr>
          <w:sz w:val="20"/>
          <w:szCs w:val="20"/>
          <w:color w:val="auto"/>
        </w:rPr>
      </w:pPr>
      <w:r>
        <w:rPr>
          <w:rFonts w:ascii="Calibri" w:cs="Calibri" w:eastAsia="Calibri" w:hAnsi="Calibri"/>
          <w:sz w:val="13"/>
          <w:szCs w:val="13"/>
          <w:color w:val="auto"/>
        </w:rPr>
        <w:t>The terms of each series of debt securites will be established by or pursuant to a resoluton of our board of directors and set forth or determined in the manner provided in a resoluton of our board of directors, in an ofcer’s certfcate or by a supplemental indenture. The partcular terms of each series of debt securites will be described in a prospectus supplement relatng to such series (including any pricing supplement or term sheet).</w:t>
      </w:r>
    </w:p>
    <w:p>
      <w:pPr>
        <w:spacing w:after="0" w:line="156" w:lineRule="exact"/>
        <w:rPr>
          <w:sz w:val="20"/>
          <w:szCs w:val="20"/>
          <w:color w:val="auto"/>
        </w:rPr>
      </w:pPr>
    </w:p>
    <w:p>
      <w:pPr>
        <w:jc w:val="both"/>
        <w:ind w:left="220" w:right="299" w:firstLine="343"/>
        <w:spacing w:after="0" w:line="235" w:lineRule="auto"/>
        <w:rPr>
          <w:sz w:val="20"/>
          <w:szCs w:val="20"/>
          <w:color w:val="auto"/>
        </w:rPr>
      </w:pPr>
      <w:r>
        <w:rPr>
          <w:rFonts w:ascii="Calibri" w:cs="Calibri" w:eastAsia="Calibri" w:hAnsi="Calibri"/>
          <w:sz w:val="14"/>
          <w:szCs w:val="14"/>
          <w:color w:val="auto"/>
        </w:rPr>
        <w:t>We can issue an unlimited amount of debt securites under the indenture that may be in one or more series with the same or various maturites, at par, at a premium, or at a discount. We will set forth in a prospectus supplement (including any pricing supplement or term sheet) relatng to any series of debt securites being ofered the aggregate principal amount and the terms of the debt securites, including, if applicable:</w:t>
      </w:r>
    </w:p>
    <w:p>
      <w:pPr>
        <w:spacing w:after="0" w:line="93" w:lineRule="exact"/>
        <w:rPr>
          <w:sz w:val="20"/>
          <w:szCs w:val="20"/>
          <w:color w:val="auto"/>
        </w:rPr>
      </w:pPr>
    </w:p>
    <w:p>
      <w:pPr>
        <w:ind w:left="980" w:hanging="341"/>
        <w:spacing w:after="0"/>
        <w:tabs>
          <w:tab w:leader="none" w:pos="980" w:val="left"/>
        </w:tabs>
        <w:numPr>
          <w:ilvl w:val="0"/>
          <w:numId w:val="25"/>
        </w:numPr>
        <w:rPr>
          <w:rFonts w:ascii="Calibri" w:cs="Calibri" w:eastAsia="Calibri" w:hAnsi="Calibri"/>
          <w:sz w:val="14"/>
          <w:szCs w:val="14"/>
          <w:color w:val="auto"/>
        </w:rPr>
      </w:pPr>
      <w:r>
        <w:rPr>
          <w:rFonts w:ascii="Calibri" w:cs="Calibri" w:eastAsia="Calibri" w:hAnsi="Calibri"/>
          <w:sz w:val="14"/>
          <w:szCs w:val="14"/>
          <w:color w:val="auto"/>
        </w:rPr>
        <w:t>the ttle and ranking of the debt securites (including the terms of any subordinaton provisions);</w:t>
      </w:r>
    </w:p>
    <w:p>
      <w:pPr>
        <w:spacing w:after="0" w:line="95" w:lineRule="exact"/>
        <w:rPr>
          <w:rFonts w:ascii="Calibri" w:cs="Calibri" w:eastAsia="Calibri" w:hAnsi="Calibri"/>
          <w:sz w:val="14"/>
          <w:szCs w:val="14"/>
          <w:color w:val="auto"/>
        </w:rPr>
      </w:pPr>
    </w:p>
    <w:p>
      <w:pPr>
        <w:ind w:left="980" w:right="619" w:hanging="341"/>
        <w:spacing w:after="0" w:line="235" w:lineRule="auto"/>
        <w:tabs>
          <w:tab w:leader="none" w:pos="980" w:val="left"/>
        </w:tabs>
        <w:numPr>
          <w:ilvl w:val="0"/>
          <w:numId w:val="25"/>
        </w:numPr>
        <w:rPr>
          <w:rFonts w:ascii="Calibri" w:cs="Calibri" w:eastAsia="Calibri" w:hAnsi="Calibri"/>
          <w:sz w:val="14"/>
          <w:szCs w:val="14"/>
          <w:color w:val="auto"/>
        </w:rPr>
      </w:pPr>
      <w:r>
        <w:rPr>
          <w:rFonts w:ascii="Calibri" w:cs="Calibri" w:eastAsia="Calibri" w:hAnsi="Calibri"/>
          <w:sz w:val="14"/>
          <w:szCs w:val="14"/>
          <w:color w:val="auto"/>
        </w:rPr>
        <w:t>the price or prices (expressed as a percentage of the principal amount) at which we will sell the debt securites, which may be sold at a discount below their stated principal amount;</w:t>
      </w:r>
    </w:p>
    <w:p>
      <w:pPr>
        <w:spacing w:after="0" w:line="92" w:lineRule="exact"/>
        <w:rPr>
          <w:rFonts w:ascii="Calibri" w:cs="Calibri" w:eastAsia="Calibri" w:hAnsi="Calibri"/>
          <w:sz w:val="14"/>
          <w:szCs w:val="14"/>
          <w:color w:val="auto"/>
        </w:rPr>
      </w:pPr>
    </w:p>
    <w:p>
      <w:pPr>
        <w:ind w:left="980" w:hanging="341"/>
        <w:spacing w:after="0"/>
        <w:tabs>
          <w:tab w:leader="none" w:pos="980" w:val="left"/>
        </w:tabs>
        <w:numPr>
          <w:ilvl w:val="0"/>
          <w:numId w:val="25"/>
        </w:numPr>
        <w:rPr>
          <w:rFonts w:ascii="Calibri" w:cs="Calibri" w:eastAsia="Calibri" w:hAnsi="Calibri"/>
          <w:sz w:val="14"/>
          <w:szCs w:val="14"/>
          <w:color w:val="auto"/>
        </w:rPr>
      </w:pPr>
      <w:r>
        <w:rPr>
          <w:rFonts w:ascii="Calibri" w:cs="Calibri" w:eastAsia="Calibri" w:hAnsi="Calibri"/>
          <w:sz w:val="14"/>
          <w:szCs w:val="14"/>
          <w:color w:val="auto"/>
        </w:rPr>
        <w:t>any limit upon the aggregate principal amount of the debt securites;</w:t>
      </w:r>
    </w:p>
    <w:p>
      <w:pPr>
        <w:spacing w:after="0" w:line="91" w:lineRule="exact"/>
        <w:rPr>
          <w:rFonts w:ascii="Calibri" w:cs="Calibri" w:eastAsia="Calibri" w:hAnsi="Calibri"/>
          <w:sz w:val="14"/>
          <w:szCs w:val="14"/>
          <w:color w:val="auto"/>
        </w:rPr>
      </w:pPr>
    </w:p>
    <w:p>
      <w:pPr>
        <w:ind w:left="980" w:hanging="341"/>
        <w:spacing w:after="0"/>
        <w:tabs>
          <w:tab w:leader="none" w:pos="980" w:val="left"/>
        </w:tabs>
        <w:numPr>
          <w:ilvl w:val="0"/>
          <w:numId w:val="25"/>
        </w:numPr>
        <w:rPr>
          <w:rFonts w:ascii="Calibri" w:cs="Calibri" w:eastAsia="Calibri" w:hAnsi="Calibri"/>
          <w:sz w:val="14"/>
          <w:szCs w:val="14"/>
          <w:color w:val="auto"/>
        </w:rPr>
      </w:pPr>
      <w:r>
        <w:rPr>
          <w:rFonts w:ascii="Calibri" w:cs="Calibri" w:eastAsia="Calibri" w:hAnsi="Calibri"/>
          <w:sz w:val="14"/>
          <w:szCs w:val="14"/>
          <w:color w:val="auto"/>
        </w:rPr>
        <w:t>the date or dates on which the principal of the securites of the series is payable;</w:t>
      </w:r>
    </w:p>
    <w:p>
      <w:pPr>
        <w:spacing w:after="0" w:line="95" w:lineRule="exact"/>
        <w:rPr>
          <w:rFonts w:ascii="Calibri" w:cs="Calibri" w:eastAsia="Calibri" w:hAnsi="Calibri"/>
          <w:sz w:val="14"/>
          <w:szCs w:val="14"/>
          <w:color w:val="auto"/>
        </w:rPr>
      </w:pPr>
    </w:p>
    <w:p>
      <w:pPr>
        <w:ind w:left="980" w:right="379" w:hanging="341"/>
        <w:spacing w:after="0" w:line="235" w:lineRule="auto"/>
        <w:tabs>
          <w:tab w:leader="none" w:pos="980" w:val="left"/>
        </w:tabs>
        <w:numPr>
          <w:ilvl w:val="0"/>
          <w:numId w:val="25"/>
        </w:numPr>
        <w:rPr>
          <w:rFonts w:ascii="Calibri" w:cs="Calibri" w:eastAsia="Calibri" w:hAnsi="Calibri"/>
          <w:sz w:val="14"/>
          <w:szCs w:val="14"/>
          <w:color w:val="auto"/>
        </w:rPr>
      </w:pPr>
      <w:r>
        <w:rPr>
          <w:rFonts w:ascii="Calibri" w:cs="Calibri" w:eastAsia="Calibri" w:hAnsi="Calibri"/>
          <w:sz w:val="14"/>
          <w:szCs w:val="14"/>
          <w:color w:val="auto"/>
        </w:rPr>
        <w:t>the rate or rates (which may be fxed or variable) per annum or the method used to determine the rate or rates (including any commodity, commodity index, stock exchange index or fnancial index) at which the debt securites will bear interest, the date or dates from which interest will accrue, the date or dates on which interest will commence and be payable and any regular record date for the interest payable on any interest payment date;</w:t>
      </w:r>
    </w:p>
    <w:p>
      <w:pPr>
        <w:spacing w:after="0" w:line="114" w:lineRule="exact"/>
        <w:rPr>
          <w:sz w:val="20"/>
          <w:szCs w:val="20"/>
          <w:color w:val="auto"/>
        </w:rPr>
      </w:pPr>
    </w:p>
    <w:p>
      <w:pPr>
        <w:jc w:val="center"/>
        <w:ind w:right="19"/>
        <w:spacing w:after="0"/>
        <w:rPr>
          <w:sz w:val="20"/>
          <w:szCs w:val="20"/>
          <w:color w:val="auto"/>
        </w:rPr>
      </w:pPr>
      <w:r>
        <w:rPr>
          <w:rFonts w:ascii="Calibri" w:cs="Calibri" w:eastAsia="Calibri" w:hAnsi="Calibri"/>
          <w:sz w:val="14"/>
          <w:szCs w:val="14"/>
          <w:color w:val="auto"/>
        </w:rPr>
        <w:t>-9-</w:t>
      </w:r>
    </w:p>
    <w:p>
      <w:pPr>
        <w:sectPr>
          <w:pgSz w:w="11900" w:h="16838" w:orient="portrait"/>
          <w:cols w:equalWidth="0" w:num="1">
            <w:col w:w="9019"/>
          </w:cols>
          <w:pgMar w:left="1440" w:top="234" w:right="1440" w:bottom="1440" w:gutter="0" w:footer="0" w:header="0"/>
        </w:sectPr>
      </w:pPr>
    </w:p>
    <w:bookmarkStart w:id="52" w:name="page53"/>
    <w:bookmarkEnd w:id="52"/>
    <w:p>
      <w:pPr>
        <w:ind w:left="980" w:hanging="341"/>
        <w:spacing w:after="0"/>
        <w:tabs>
          <w:tab w:leader="none" w:pos="980" w:val="left"/>
        </w:tabs>
        <w:numPr>
          <w:ilvl w:val="0"/>
          <w:numId w:val="26"/>
        </w:numPr>
        <w:rPr>
          <w:rFonts w:ascii="Calibri" w:cs="Calibri" w:eastAsia="Calibri" w:hAnsi="Calibri"/>
          <w:sz w:val="14"/>
          <w:szCs w:val="14"/>
          <w:color w:val="auto"/>
        </w:rPr>
      </w:pPr>
      <w:r>
        <w:rPr>
          <w:rFonts w:ascii="Calibri" w:cs="Calibri" w:eastAsia="Calibri" w:hAnsi="Calibri"/>
          <w:sz w:val="14"/>
          <w:szCs w:val="14"/>
          <w:color w:val="auto"/>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80">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the right, if any, to defer payment of interest and the maximum length of any such deferral period;</w:t>
      </w:r>
    </w:p>
    <w:p>
      <w:pPr>
        <w:spacing w:after="0" w:line="95" w:lineRule="exact"/>
        <w:rPr>
          <w:rFonts w:ascii="Calibri" w:cs="Calibri" w:eastAsia="Calibri" w:hAnsi="Calibri"/>
          <w:sz w:val="14"/>
          <w:szCs w:val="14"/>
          <w:color w:val="auto"/>
        </w:rPr>
      </w:pPr>
    </w:p>
    <w:p>
      <w:pPr>
        <w:ind w:left="980" w:right="319" w:hanging="341"/>
        <w:spacing w:after="0" w:line="235" w:lineRule="auto"/>
        <w:tabs>
          <w:tab w:leader="none" w:pos="980" w:val="left"/>
        </w:tabs>
        <w:numPr>
          <w:ilvl w:val="0"/>
          <w:numId w:val="26"/>
        </w:numPr>
        <w:rPr>
          <w:rFonts w:ascii="Calibri" w:cs="Calibri" w:eastAsia="Calibri" w:hAnsi="Calibri"/>
          <w:sz w:val="14"/>
          <w:szCs w:val="14"/>
          <w:color w:val="auto"/>
        </w:rPr>
      </w:pPr>
      <w:r>
        <w:rPr>
          <w:rFonts w:ascii="Calibri" w:cs="Calibri" w:eastAsia="Calibri" w:hAnsi="Calibri"/>
          <w:sz w:val="14"/>
          <w:szCs w:val="14"/>
          <w:color w:val="auto"/>
        </w:rPr>
        <w:t>the place or places where principal of, and interest, if any, on the debt securites will be payable (and the method of such payment), where the securites of such series may be surrendered for registraton of transfer or exchange, and where notces and demands to us in respect of the debt securites may be delivered;</w:t>
      </w:r>
    </w:p>
    <w:p>
      <w:pPr>
        <w:spacing w:after="0" w:line="96" w:lineRule="exact"/>
        <w:rPr>
          <w:rFonts w:ascii="Calibri" w:cs="Calibri" w:eastAsia="Calibri" w:hAnsi="Calibri"/>
          <w:sz w:val="14"/>
          <w:szCs w:val="14"/>
          <w:color w:val="auto"/>
        </w:rPr>
      </w:pPr>
    </w:p>
    <w:p>
      <w:pPr>
        <w:ind w:left="980" w:right="719" w:hanging="341"/>
        <w:spacing w:after="0" w:line="235" w:lineRule="auto"/>
        <w:tabs>
          <w:tab w:leader="none" w:pos="980" w:val="left"/>
        </w:tabs>
        <w:numPr>
          <w:ilvl w:val="0"/>
          <w:numId w:val="26"/>
        </w:numPr>
        <w:rPr>
          <w:rFonts w:ascii="Calibri" w:cs="Calibri" w:eastAsia="Calibri" w:hAnsi="Calibri"/>
          <w:sz w:val="14"/>
          <w:szCs w:val="14"/>
          <w:color w:val="auto"/>
        </w:rPr>
      </w:pPr>
      <w:r>
        <w:rPr>
          <w:rFonts w:ascii="Calibri" w:cs="Calibri" w:eastAsia="Calibri" w:hAnsi="Calibri"/>
          <w:sz w:val="14"/>
          <w:szCs w:val="14"/>
          <w:color w:val="auto"/>
        </w:rPr>
        <w:t>the period or periods within which, the price or prices at which, and the terms and conditons upon which, we may redeem the debt securites;</w:t>
      </w:r>
    </w:p>
    <w:p>
      <w:pPr>
        <w:spacing w:after="0" w:line="95" w:lineRule="exact"/>
        <w:rPr>
          <w:rFonts w:ascii="Calibri" w:cs="Calibri" w:eastAsia="Calibri" w:hAnsi="Calibri"/>
          <w:sz w:val="14"/>
          <w:szCs w:val="14"/>
          <w:color w:val="auto"/>
        </w:rPr>
      </w:pPr>
    </w:p>
    <w:p>
      <w:pPr>
        <w:ind w:left="980" w:right="299" w:hanging="341"/>
        <w:spacing w:after="0" w:line="235" w:lineRule="auto"/>
        <w:tabs>
          <w:tab w:leader="none" w:pos="980" w:val="left"/>
        </w:tabs>
        <w:numPr>
          <w:ilvl w:val="0"/>
          <w:numId w:val="26"/>
        </w:numPr>
        <w:rPr>
          <w:rFonts w:ascii="Calibri" w:cs="Calibri" w:eastAsia="Calibri" w:hAnsi="Calibri"/>
          <w:sz w:val="14"/>
          <w:szCs w:val="14"/>
          <w:color w:val="auto"/>
        </w:rPr>
      </w:pPr>
      <w:r>
        <w:rPr>
          <w:rFonts w:ascii="Calibri" w:cs="Calibri" w:eastAsia="Calibri" w:hAnsi="Calibri"/>
          <w:sz w:val="14"/>
          <w:szCs w:val="14"/>
          <w:color w:val="auto"/>
        </w:rPr>
        <w:t>any obligaton we have to repurchase the debt securites pursuant to any sinking fund or analogous provisions or at the opton of a holder of debt securites and the period or periods within which, the price or prices at which and the terms and conditons upon which securites of the series shall be repurchased, in whole or in part, pursuant to such obligaton;</w:t>
      </w:r>
    </w:p>
    <w:p>
      <w:pPr>
        <w:spacing w:after="0" w:line="96" w:lineRule="exact"/>
        <w:rPr>
          <w:rFonts w:ascii="Calibri" w:cs="Calibri" w:eastAsia="Calibri" w:hAnsi="Calibri"/>
          <w:sz w:val="14"/>
          <w:szCs w:val="14"/>
          <w:color w:val="auto"/>
        </w:rPr>
      </w:pPr>
    </w:p>
    <w:p>
      <w:pPr>
        <w:ind w:left="980" w:right="239" w:hanging="341"/>
        <w:spacing w:after="0" w:line="258" w:lineRule="auto"/>
        <w:tabs>
          <w:tab w:leader="none" w:pos="980" w:val="left"/>
        </w:tabs>
        <w:numPr>
          <w:ilvl w:val="0"/>
          <w:numId w:val="26"/>
        </w:numPr>
        <w:rPr>
          <w:rFonts w:ascii="Calibri" w:cs="Calibri" w:eastAsia="Calibri" w:hAnsi="Calibri"/>
          <w:sz w:val="13"/>
          <w:szCs w:val="13"/>
          <w:color w:val="auto"/>
        </w:rPr>
      </w:pPr>
      <w:r>
        <w:rPr>
          <w:rFonts w:ascii="Calibri" w:cs="Calibri" w:eastAsia="Calibri" w:hAnsi="Calibri"/>
          <w:sz w:val="13"/>
          <w:szCs w:val="13"/>
          <w:color w:val="auto"/>
        </w:rPr>
        <w:t>the provisions relatng to conversion or exchange of any debt securites of the series into our common stock or other securites and the terms and conditons upon which such debt securites will be so convertble or exchangeable, including the conversion or exchange price, as applicable, or how it will be calculated and may be adjusted, any mandatory or optonal (at our opton or the holders’ opton) conversion or exchange features, the applicable conversion or exchange period and the manner of setlement for any conversion or exchange;</w:t>
      </w:r>
    </w:p>
    <w:p>
      <w:pPr>
        <w:spacing w:after="0" w:line="80" w:lineRule="exact"/>
        <w:rPr>
          <w:rFonts w:ascii="Calibri" w:cs="Calibri" w:eastAsia="Calibri" w:hAnsi="Calibri"/>
          <w:sz w:val="13"/>
          <w:szCs w:val="13"/>
          <w:color w:val="auto"/>
        </w:rPr>
      </w:pPr>
    </w:p>
    <w:p>
      <w:pPr>
        <w:ind w:left="980" w:hanging="341"/>
        <w:spacing w:after="0"/>
        <w:tabs>
          <w:tab w:leader="none" w:pos="980" w:val="left"/>
        </w:tabs>
        <w:numPr>
          <w:ilvl w:val="0"/>
          <w:numId w:val="26"/>
        </w:numPr>
        <w:rPr>
          <w:rFonts w:ascii="Calibri" w:cs="Calibri" w:eastAsia="Calibri" w:hAnsi="Calibri"/>
          <w:sz w:val="14"/>
          <w:szCs w:val="14"/>
          <w:color w:val="auto"/>
        </w:rPr>
      </w:pPr>
      <w:r>
        <w:rPr>
          <w:rFonts w:ascii="Calibri" w:cs="Calibri" w:eastAsia="Calibri" w:hAnsi="Calibri"/>
          <w:sz w:val="14"/>
          <w:szCs w:val="14"/>
          <w:color w:val="auto"/>
        </w:rPr>
        <w:t>the denominatons in which the debt securites will be issued, if other than denominatons of $1,000, and any integral multple thereof;</w:t>
      </w:r>
    </w:p>
    <w:p>
      <w:pPr>
        <w:spacing w:after="0" w:line="95" w:lineRule="exact"/>
        <w:rPr>
          <w:rFonts w:ascii="Calibri" w:cs="Calibri" w:eastAsia="Calibri" w:hAnsi="Calibri"/>
          <w:sz w:val="14"/>
          <w:szCs w:val="14"/>
          <w:color w:val="auto"/>
        </w:rPr>
      </w:pPr>
    </w:p>
    <w:p>
      <w:pPr>
        <w:ind w:left="980" w:right="679" w:hanging="341"/>
        <w:spacing w:after="0" w:line="235" w:lineRule="auto"/>
        <w:tabs>
          <w:tab w:leader="none" w:pos="980" w:val="left"/>
        </w:tabs>
        <w:numPr>
          <w:ilvl w:val="0"/>
          <w:numId w:val="26"/>
        </w:numPr>
        <w:rPr>
          <w:rFonts w:ascii="Calibri" w:cs="Calibri" w:eastAsia="Calibri" w:hAnsi="Calibri"/>
          <w:sz w:val="14"/>
          <w:szCs w:val="14"/>
          <w:color w:val="auto"/>
        </w:rPr>
      </w:pPr>
      <w:r>
        <w:rPr>
          <w:rFonts w:ascii="Calibri" w:cs="Calibri" w:eastAsia="Calibri" w:hAnsi="Calibri"/>
          <w:sz w:val="14"/>
          <w:szCs w:val="14"/>
          <w:color w:val="auto"/>
        </w:rPr>
        <w:t>the form of the debt securites and whether the debt securites will be issued in the form of certfcated debt securites or global debt securites;</w:t>
      </w:r>
    </w:p>
    <w:p>
      <w:pPr>
        <w:spacing w:after="0" w:line="95" w:lineRule="exact"/>
        <w:rPr>
          <w:rFonts w:ascii="Calibri" w:cs="Calibri" w:eastAsia="Calibri" w:hAnsi="Calibri"/>
          <w:sz w:val="14"/>
          <w:szCs w:val="14"/>
          <w:color w:val="auto"/>
        </w:rPr>
      </w:pPr>
    </w:p>
    <w:p>
      <w:pPr>
        <w:ind w:left="980" w:right="679" w:hanging="341"/>
        <w:spacing w:after="0" w:line="235" w:lineRule="auto"/>
        <w:tabs>
          <w:tab w:leader="none" w:pos="980" w:val="left"/>
        </w:tabs>
        <w:numPr>
          <w:ilvl w:val="0"/>
          <w:numId w:val="26"/>
        </w:numPr>
        <w:rPr>
          <w:rFonts w:ascii="Calibri" w:cs="Calibri" w:eastAsia="Calibri" w:hAnsi="Calibri"/>
          <w:sz w:val="14"/>
          <w:szCs w:val="14"/>
          <w:color w:val="auto"/>
        </w:rPr>
      </w:pPr>
      <w:r>
        <w:rPr>
          <w:rFonts w:ascii="Calibri" w:cs="Calibri" w:eastAsia="Calibri" w:hAnsi="Calibri"/>
          <w:sz w:val="14"/>
          <w:szCs w:val="14"/>
          <w:color w:val="auto"/>
        </w:rPr>
        <w:t>the porton of principal amount of the debt securites payable upon declaraton of acceleraton of the maturity date, if other than the principal amount;</w:t>
      </w:r>
    </w:p>
    <w:p>
      <w:pPr>
        <w:spacing w:after="0" w:line="95" w:lineRule="exact"/>
        <w:rPr>
          <w:rFonts w:ascii="Calibri" w:cs="Calibri" w:eastAsia="Calibri" w:hAnsi="Calibri"/>
          <w:sz w:val="14"/>
          <w:szCs w:val="14"/>
          <w:color w:val="auto"/>
        </w:rPr>
      </w:pPr>
    </w:p>
    <w:p>
      <w:pPr>
        <w:ind w:left="980" w:right="399" w:hanging="341"/>
        <w:spacing w:after="0" w:line="235" w:lineRule="auto"/>
        <w:tabs>
          <w:tab w:leader="none" w:pos="980" w:val="left"/>
        </w:tabs>
        <w:numPr>
          <w:ilvl w:val="0"/>
          <w:numId w:val="26"/>
        </w:numPr>
        <w:rPr>
          <w:rFonts w:ascii="Calibri" w:cs="Calibri" w:eastAsia="Calibri" w:hAnsi="Calibri"/>
          <w:sz w:val="14"/>
          <w:szCs w:val="14"/>
          <w:color w:val="auto"/>
        </w:rPr>
      </w:pPr>
      <w:r>
        <w:rPr>
          <w:rFonts w:ascii="Calibri" w:cs="Calibri" w:eastAsia="Calibri" w:hAnsi="Calibri"/>
          <w:sz w:val="14"/>
          <w:szCs w:val="14"/>
          <w:color w:val="auto"/>
        </w:rPr>
        <w:t>the designaton of the currency, currencies or currency units in which payment of principal of, premium and interest on the debt securites will be made and, if other than that or those in which the debt securites are denominated, the manner in which the exchange rate with respect to these payments will be determined;</w:t>
      </w:r>
    </w:p>
    <w:p>
      <w:pPr>
        <w:spacing w:after="0" w:line="96" w:lineRule="exact"/>
        <w:rPr>
          <w:rFonts w:ascii="Calibri" w:cs="Calibri" w:eastAsia="Calibri" w:hAnsi="Calibri"/>
          <w:sz w:val="14"/>
          <w:szCs w:val="14"/>
          <w:color w:val="auto"/>
        </w:rPr>
      </w:pPr>
    </w:p>
    <w:p>
      <w:pPr>
        <w:jc w:val="both"/>
        <w:ind w:left="980" w:right="339" w:hanging="341"/>
        <w:spacing w:after="0" w:line="235" w:lineRule="auto"/>
        <w:tabs>
          <w:tab w:leader="none" w:pos="980" w:val="left"/>
        </w:tabs>
        <w:numPr>
          <w:ilvl w:val="0"/>
          <w:numId w:val="26"/>
        </w:numPr>
        <w:rPr>
          <w:rFonts w:ascii="Calibri" w:cs="Calibri" w:eastAsia="Calibri" w:hAnsi="Calibri"/>
          <w:sz w:val="14"/>
          <w:szCs w:val="14"/>
          <w:color w:val="auto"/>
        </w:rPr>
      </w:pPr>
      <w:r>
        <w:rPr>
          <w:rFonts w:ascii="Calibri" w:cs="Calibri" w:eastAsia="Calibri" w:hAnsi="Calibri"/>
          <w:sz w:val="14"/>
          <w:szCs w:val="14"/>
          <w:color w:val="auto"/>
        </w:rPr>
        <w:t>the manner in which the amounts of payment of principal or premium or interest, if any, on the debt securites will be determined, if these amounts may be determined by reference to an index based on a currency or currencies or by reference to a commodity, commodity index, stock exchange index or fnancial index;</w:t>
      </w:r>
    </w:p>
    <w:p>
      <w:pPr>
        <w:spacing w:after="0" w:line="92" w:lineRule="exact"/>
        <w:rPr>
          <w:rFonts w:ascii="Calibri" w:cs="Calibri" w:eastAsia="Calibri" w:hAnsi="Calibri"/>
          <w:sz w:val="14"/>
          <w:szCs w:val="14"/>
          <w:color w:val="auto"/>
        </w:rPr>
      </w:pPr>
    </w:p>
    <w:p>
      <w:pPr>
        <w:ind w:left="980" w:hanging="341"/>
        <w:spacing w:after="0"/>
        <w:tabs>
          <w:tab w:leader="none" w:pos="980" w:val="left"/>
        </w:tabs>
        <w:numPr>
          <w:ilvl w:val="0"/>
          <w:numId w:val="26"/>
        </w:numPr>
        <w:rPr>
          <w:rFonts w:ascii="Calibri" w:cs="Calibri" w:eastAsia="Calibri" w:hAnsi="Calibri"/>
          <w:sz w:val="14"/>
          <w:szCs w:val="14"/>
          <w:color w:val="auto"/>
        </w:rPr>
      </w:pPr>
      <w:r>
        <w:rPr>
          <w:rFonts w:ascii="Calibri" w:cs="Calibri" w:eastAsia="Calibri" w:hAnsi="Calibri"/>
          <w:sz w:val="14"/>
          <w:szCs w:val="14"/>
          <w:color w:val="auto"/>
        </w:rPr>
        <w:t>any provisions relatng to any security provided for the debt securites;</w:t>
      </w:r>
    </w:p>
    <w:p>
      <w:pPr>
        <w:spacing w:after="0" w:line="95" w:lineRule="exact"/>
        <w:rPr>
          <w:rFonts w:ascii="Calibri" w:cs="Calibri" w:eastAsia="Calibri" w:hAnsi="Calibri"/>
          <w:sz w:val="14"/>
          <w:szCs w:val="14"/>
          <w:color w:val="auto"/>
        </w:rPr>
      </w:pPr>
    </w:p>
    <w:p>
      <w:pPr>
        <w:ind w:left="980" w:right="359" w:hanging="341"/>
        <w:spacing w:after="0" w:line="235" w:lineRule="auto"/>
        <w:tabs>
          <w:tab w:leader="none" w:pos="980" w:val="left"/>
        </w:tabs>
        <w:numPr>
          <w:ilvl w:val="0"/>
          <w:numId w:val="26"/>
        </w:numPr>
        <w:rPr>
          <w:rFonts w:ascii="Calibri" w:cs="Calibri" w:eastAsia="Calibri" w:hAnsi="Calibri"/>
          <w:sz w:val="14"/>
          <w:szCs w:val="14"/>
          <w:color w:val="auto"/>
        </w:rPr>
      </w:pPr>
      <w:r>
        <w:rPr>
          <w:rFonts w:ascii="Calibri" w:cs="Calibri" w:eastAsia="Calibri" w:hAnsi="Calibri"/>
          <w:sz w:val="14"/>
          <w:szCs w:val="14"/>
          <w:color w:val="auto"/>
        </w:rPr>
        <w:t>any additon to, deleton of, or change in the covenants or Events of Default described in this prospectus or in the indenture with respect to the debt securites and any change in the acceleraton provisions described in this prospectus or in the indenture with respect to the debt securites;</w:t>
      </w:r>
    </w:p>
    <w:p>
      <w:pPr>
        <w:spacing w:after="0" w:line="92" w:lineRule="exact"/>
        <w:rPr>
          <w:rFonts w:ascii="Calibri" w:cs="Calibri" w:eastAsia="Calibri" w:hAnsi="Calibri"/>
          <w:sz w:val="14"/>
          <w:szCs w:val="14"/>
          <w:color w:val="auto"/>
        </w:rPr>
      </w:pPr>
    </w:p>
    <w:p>
      <w:pPr>
        <w:ind w:left="980" w:hanging="341"/>
        <w:spacing w:after="0"/>
        <w:tabs>
          <w:tab w:leader="none" w:pos="980" w:val="left"/>
        </w:tabs>
        <w:numPr>
          <w:ilvl w:val="0"/>
          <w:numId w:val="26"/>
        </w:numPr>
        <w:rPr>
          <w:rFonts w:ascii="Calibri" w:cs="Calibri" w:eastAsia="Calibri" w:hAnsi="Calibri"/>
          <w:sz w:val="14"/>
          <w:szCs w:val="14"/>
          <w:color w:val="auto"/>
        </w:rPr>
      </w:pPr>
      <w:r>
        <w:rPr>
          <w:rFonts w:ascii="Calibri" w:cs="Calibri" w:eastAsia="Calibri" w:hAnsi="Calibri"/>
          <w:sz w:val="14"/>
          <w:szCs w:val="14"/>
          <w:color w:val="auto"/>
        </w:rPr>
        <w:t>any depositaries, interest rate calculaton agents, exchange rate calculaton agents or other agents with respect to the debt securites;</w:t>
      </w:r>
    </w:p>
    <w:p>
      <w:pPr>
        <w:spacing w:after="0" w:line="95" w:lineRule="exact"/>
        <w:rPr>
          <w:rFonts w:ascii="Calibri" w:cs="Calibri" w:eastAsia="Calibri" w:hAnsi="Calibri"/>
          <w:sz w:val="14"/>
          <w:szCs w:val="14"/>
          <w:color w:val="auto"/>
        </w:rPr>
      </w:pPr>
    </w:p>
    <w:p>
      <w:pPr>
        <w:ind w:left="980" w:right="719" w:hanging="341"/>
        <w:spacing w:after="0" w:line="235" w:lineRule="auto"/>
        <w:tabs>
          <w:tab w:leader="none" w:pos="980" w:val="left"/>
        </w:tabs>
        <w:numPr>
          <w:ilvl w:val="0"/>
          <w:numId w:val="26"/>
        </w:numPr>
        <w:rPr>
          <w:rFonts w:ascii="Calibri" w:cs="Calibri" w:eastAsia="Calibri" w:hAnsi="Calibri"/>
          <w:sz w:val="14"/>
          <w:szCs w:val="14"/>
          <w:color w:val="auto"/>
        </w:rPr>
      </w:pPr>
      <w:r>
        <w:rPr>
          <w:rFonts w:ascii="Calibri" w:cs="Calibri" w:eastAsia="Calibri" w:hAnsi="Calibri"/>
          <w:sz w:val="14"/>
          <w:szCs w:val="14"/>
          <w:color w:val="auto"/>
        </w:rPr>
        <w:t>if there is more than one trustee or a diferent trustee, the identty of the trustee and, if not the trustee, the identty of each security registrar, paying agent or authentcatng agent with respect to such debt securites;</w:t>
      </w:r>
    </w:p>
    <w:p>
      <w:pPr>
        <w:spacing w:after="0" w:line="95" w:lineRule="exact"/>
        <w:rPr>
          <w:rFonts w:ascii="Calibri" w:cs="Calibri" w:eastAsia="Calibri" w:hAnsi="Calibri"/>
          <w:sz w:val="14"/>
          <w:szCs w:val="14"/>
          <w:color w:val="auto"/>
        </w:rPr>
      </w:pPr>
    </w:p>
    <w:p>
      <w:pPr>
        <w:ind w:left="980" w:right="259" w:hanging="341"/>
        <w:spacing w:after="0" w:line="235" w:lineRule="auto"/>
        <w:tabs>
          <w:tab w:leader="none" w:pos="980" w:val="left"/>
        </w:tabs>
        <w:numPr>
          <w:ilvl w:val="0"/>
          <w:numId w:val="26"/>
        </w:numPr>
        <w:rPr>
          <w:rFonts w:ascii="Calibri" w:cs="Calibri" w:eastAsia="Calibri" w:hAnsi="Calibri"/>
          <w:sz w:val="14"/>
          <w:szCs w:val="14"/>
          <w:color w:val="auto"/>
        </w:rPr>
      </w:pPr>
      <w:r>
        <w:rPr>
          <w:rFonts w:ascii="Calibri" w:cs="Calibri" w:eastAsia="Calibri" w:hAnsi="Calibri"/>
          <w:sz w:val="14"/>
          <w:szCs w:val="14"/>
          <w:color w:val="auto"/>
        </w:rPr>
        <w:t>any other terms of the debt securites, which may supplement, modify or delete any provision of the indenture as it applies to that series, including any terms that may be required under applicable law or regulatons or advisable in connecton with the marketng of the securites; and</w:t>
      </w:r>
    </w:p>
    <w:p>
      <w:pPr>
        <w:spacing w:after="0" w:line="96" w:lineRule="exact"/>
        <w:rPr>
          <w:rFonts w:ascii="Calibri" w:cs="Calibri" w:eastAsia="Calibri" w:hAnsi="Calibri"/>
          <w:sz w:val="14"/>
          <w:szCs w:val="14"/>
          <w:color w:val="auto"/>
        </w:rPr>
      </w:pPr>
    </w:p>
    <w:p>
      <w:pPr>
        <w:ind w:left="980" w:right="239" w:hanging="341"/>
        <w:spacing w:after="0" w:line="235" w:lineRule="auto"/>
        <w:tabs>
          <w:tab w:leader="none" w:pos="980" w:val="left"/>
        </w:tabs>
        <w:numPr>
          <w:ilvl w:val="0"/>
          <w:numId w:val="26"/>
        </w:numPr>
        <w:rPr>
          <w:rFonts w:ascii="Calibri" w:cs="Calibri" w:eastAsia="Calibri" w:hAnsi="Calibri"/>
          <w:sz w:val="14"/>
          <w:szCs w:val="14"/>
          <w:color w:val="auto"/>
        </w:rPr>
      </w:pPr>
      <w:r>
        <w:rPr>
          <w:rFonts w:ascii="Calibri" w:cs="Calibri" w:eastAsia="Calibri" w:hAnsi="Calibri"/>
          <w:sz w:val="14"/>
          <w:szCs w:val="14"/>
          <w:color w:val="auto"/>
        </w:rPr>
        <w:t>whether any of our direct or indirect subsidiaries will guarantee the debt securites of that series, including the terms of subordinaton, if any, of such guarantees.</w:t>
      </w:r>
    </w:p>
    <w:p>
      <w:pPr>
        <w:spacing w:after="0" w:line="113" w:lineRule="exact"/>
        <w:rPr>
          <w:sz w:val="20"/>
          <w:szCs w:val="20"/>
          <w:color w:val="auto"/>
        </w:rPr>
      </w:pPr>
    </w:p>
    <w:p>
      <w:pPr>
        <w:jc w:val="center"/>
        <w:spacing w:after="0"/>
        <w:rPr>
          <w:sz w:val="20"/>
          <w:szCs w:val="20"/>
          <w:color w:val="auto"/>
        </w:rPr>
      </w:pPr>
      <w:r>
        <w:rPr>
          <w:rFonts w:ascii="Calibri" w:cs="Calibri" w:eastAsia="Calibri" w:hAnsi="Calibri"/>
          <w:sz w:val="14"/>
          <w:szCs w:val="14"/>
          <w:color w:val="auto"/>
        </w:rPr>
        <w:t>-10-</w:t>
      </w:r>
    </w:p>
    <w:p>
      <w:pPr>
        <w:sectPr>
          <w:pgSz w:w="11900" w:h="16838" w:orient="portrait"/>
          <w:cols w:equalWidth="0" w:num="1">
            <w:col w:w="9019"/>
          </w:cols>
          <w:pgMar w:left="1440" w:top="234" w:right="1440" w:bottom="1440" w:gutter="0" w:footer="0" w:header="0"/>
        </w:sectPr>
      </w:pPr>
    </w:p>
    <w:bookmarkStart w:id="53" w:name="page54"/>
    <w:bookmarkEnd w:id="53"/>
    <w:p>
      <w:pPr>
        <w:ind w:left="220" w:right="319" w:firstLine="343"/>
        <w:spacing w:after="0" w:line="235" w:lineRule="auto"/>
        <w:rPr>
          <w:sz w:val="20"/>
          <w:szCs w:val="20"/>
          <w:color w:val="auto"/>
        </w:rPr>
      </w:pPr>
      <w:r>
        <w:rPr>
          <w:rFonts w:ascii="Calibri" w:cs="Calibri" w:eastAsia="Calibri" w:hAnsi="Calibri"/>
          <w:sz w:val="14"/>
          <w:szCs w:val="14"/>
          <w:color w:val="auto"/>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81">
                      <a:extLst>
                        <a:ext uri="{28A0092B-C50C-407E-A947-70E740481C1C}"/>
                      </a:extLst>
                    </a:blip>
                    <a:srcRect/>
                    <a:stretch>
                      <a:fillRect/>
                    </a:stretch>
                  </pic:blipFill>
                  <pic:spPr bwMode="auto">
                    <a:xfrm>
                      <a:off x="0" y="0"/>
                      <a:ext cx="7201535" cy="33020"/>
                    </a:xfrm>
                    <a:prstGeom prst="rect">
                      <a:avLst/>
                    </a:prstGeom>
                    <a:noFill/>
                  </pic:spPr>
                </pic:pic>
              </a:graphicData>
            </a:graphic>
          </wp:anchor>
        </w:drawing>
        <w:t>We may ofer debt securites that provide for an amount less than their stated principal amount to be due and payable upon declaraton of acceleraton of their maturity pursuant to the terms of the indenture. We will provide you with informaton on the federal income tax consideratons and other special consideratons applicable to any of these debt securites in the applicable prospectus supplement. If we denominate the purchase price of any of the debt securites in a foreign currency or currencies or a foreign currency unit or units, or if the principal of and any premium and interest on any series of debt securites is payable in a foreign currency or currencies or a foreign currency unit or units, we will provide you with informaton on the restrictons, electons, general tax consideratons, specifc terms and other informaton with respect to that issue of debt securites and such foreign currency or currencies or foreign currency unit or units in the applicable prospectus supplement.</w:t>
      </w:r>
    </w:p>
    <w:p>
      <w:pPr>
        <w:spacing w:after="0" w:line="253" w:lineRule="exact"/>
        <w:rPr>
          <w:sz w:val="20"/>
          <w:szCs w:val="20"/>
          <w:color w:val="auto"/>
        </w:rPr>
      </w:pPr>
    </w:p>
    <w:p>
      <w:pPr>
        <w:ind w:left="220"/>
        <w:spacing w:after="0"/>
        <w:rPr>
          <w:sz w:val="20"/>
          <w:szCs w:val="20"/>
          <w:color w:val="auto"/>
        </w:rPr>
      </w:pPr>
      <w:r>
        <w:rPr>
          <w:rFonts w:ascii="Calibri" w:cs="Calibri" w:eastAsia="Calibri" w:hAnsi="Calibri"/>
          <w:sz w:val="14"/>
          <w:szCs w:val="14"/>
          <w:b w:val="1"/>
          <w:bCs w:val="1"/>
          <w:color w:val="auto"/>
        </w:rPr>
        <w:t>Transfer and Exchange</w:t>
      </w:r>
    </w:p>
    <w:p>
      <w:pPr>
        <w:spacing w:after="0" w:line="85" w:lineRule="exact"/>
        <w:rPr>
          <w:sz w:val="20"/>
          <w:szCs w:val="20"/>
          <w:color w:val="auto"/>
        </w:rPr>
      </w:pPr>
    </w:p>
    <w:p>
      <w:pPr>
        <w:ind w:left="220" w:right="239" w:firstLine="343"/>
        <w:spacing w:after="0" w:line="235" w:lineRule="auto"/>
        <w:rPr>
          <w:sz w:val="20"/>
          <w:szCs w:val="20"/>
          <w:color w:val="auto"/>
        </w:rPr>
      </w:pPr>
      <w:r>
        <w:rPr>
          <w:rFonts w:ascii="Calibri" w:cs="Calibri" w:eastAsia="Calibri" w:hAnsi="Calibri"/>
          <w:sz w:val="14"/>
          <w:szCs w:val="14"/>
          <w:color w:val="auto"/>
        </w:rPr>
        <w:t>Each debt security will be represented by either one or more global securites registered in the name of a clearing agency registered under the Exchange Act, which we refer to as the depositary, or a nominee of the depositary (we will refer to any debt security represented by a global debt security as a “book-entry debt security”), or a certfcate issued in defnitve registered form (we will refer to any debt security represented by a certfcated security as a “certfcated debt security”) as set forth in the applicable prospectus supplement. Except as set forth under the heading “Global Debt Securites and Book-Entry System” below, book-entry debt securites will not be issuable in certfcated form.</w:t>
      </w:r>
    </w:p>
    <w:p>
      <w:pPr>
        <w:spacing w:after="0" w:line="252" w:lineRule="exact"/>
        <w:rPr>
          <w:sz w:val="20"/>
          <w:szCs w:val="20"/>
          <w:color w:val="auto"/>
        </w:rPr>
      </w:pPr>
    </w:p>
    <w:p>
      <w:pPr>
        <w:ind w:left="220"/>
        <w:spacing w:after="0"/>
        <w:rPr>
          <w:sz w:val="20"/>
          <w:szCs w:val="20"/>
          <w:color w:val="auto"/>
        </w:rPr>
      </w:pPr>
      <w:r>
        <w:rPr>
          <w:rFonts w:ascii="Calibri" w:cs="Calibri" w:eastAsia="Calibri" w:hAnsi="Calibri"/>
          <w:sz w:val="14"/>
          <w:szCs w:val="14"/>
          <w:b w:val="1"/>
          <w:bCs w:val="1"/>
          <w:i w:val="1"/>
          <w:iCs w:val="1"/>
          <w:color w:val="auto"/>
        </w:rPr>
        <w:t>Certfcated Debt Securites</w:t>
      </w:r>
    </w:p>
    <w:p>
      <w:pPr>
        <w:spacing w:after="0" w:line="85" w:lineRule="exact"/>
        <w:rPr>
          <w:sz w:val="20"/>
          <w:szCs w:val="20"/>
          <w:color w:val="auto"/>
        </w:rPr>
      </w:pPr>
    </w:p>
    <w:p>
      <w:pPr>
        <w:ind w:left="220" w:right="239" w:firstLine="343"/>
        <w:spacing w:after="0" w:line="235" w:lineRule="auto"/>
        <w:rPr>
          <w:sz w:val="20"/>
          <w:szCs w:val="20"/>
          <w:color w:val="auto"/>
        </w:rPr>
      </w:pPr>
      <w:r>
        <w:rPr>
          <w:rFonts w:ascii="Calibri" w:cs="Calibri" w:eastAsia="Calibri" w:hAnsi="Calibri"/>
          <w:sz w:val="14"/>
          <w:szCs w:val="14"/>
          <w:color w:val="auto"/>
        </w:rPr>
        <w:t>You may transfer or exchange certfcated debt securites at any ofce we maintain for this purpose in accordance with the terms of the indenture. No service charge will be made for any transfer or exchange of certfcated debt securites, but we may require payment of a sum sufcient to cover any tax or other governmental charge payable in connecton with a transfer or exchange.</w:t>
      </w:r>
    </w:p>
    <w:p>
      <w:pPr>
        <w:spacing w:after="0" w:line="170" w:lineRule="exact"/>
        <w:rPr>
          <w:sz w:val="20"/>
          <w:szCs w:val="20"/>
          <w:color w:val="auto"/>
        </w:rPr>
      </w:pPr>
    </w:p>
    <w:p>
      <w:pPr>
        <w:ind w:left="220" w:right="279" w:firstLine="343"/>
        <w:spacing w:after="0" w:line="235" w:lineRule="auto"/>
        <w:rPr>
          <w:sz w:val="20"/>
          <w:szCs w:val="20"/>
          <w:color w:val="auto"/>
        </w:rPr>
      </w:pPr>
      <w:r>
        <w:rPr>
          <w:rFonts w:ascii="Calibri" w:cs="Calibri" w:eastAsia="Calibri" w:hAnsi="Calibri"/>
          <w:sz w:val="14"/>
          <w:szCs w:val="14"/>
          <w:color w:val="auto"/>
        </w:rPr>
        <w:t>You may efect the transfer of certfcated debt securites and the right to receive the principal of, premium and interest on certfcated debt securites only by surrendering the certfcate representng those certfcated debt securites and either reissuance by us or the trustee of the certfcate to the new holder or the issuance by us or the trustee of a new certfcate to the new holder.</w:t>
      </w:r>
    </w:p>
    <w:p>
      <w:pPr>
        <w:spacing w:after="0" w:line="250" w:lineRule="exact"/>
        <w:rPr>
          <w:sz w:val="20"/>
          <w:szCs w:val="20"/>
          <w:color w:val="auto"/>
        </w:rPr>
      </w:pPr>
    </w:p>
    <w:p>
      <w:pPr>
        <w:ind w:left="220"/>
        <w:spacing w:after="0"/>
        <w:rPr>
          <w:sz w:val="20"/>
          <w:szCs w:val="20"/>
          <w:color w:val="auto"/>
        </w:rPr>
      </w:pPr>
      <w:r>
        <w:rPr>
          <w:rFonts w:ascii="Calibri" w:cs="Calibri" w:eastAsia="Calibri" w:hAnsi="Calibri"/>
          <w:sz w:val="14"/>
          <w:szCs w:val="14"/>
          <w:b w:val="1"/>
          <w:bCs w:val="1"/>
          <w:i w:val="1"/>
          <w:iCs w:val="1"/>
          <w:color w:val="auto"/>
        </w:rPr>
        <w:t>Global Debt Securites and Book-Entry System</w:t>
      </w:r>
    </w:p>
    <w:p>
      <w:pPr>
        <w:spacing w:after="0" w:line="85" w:lineRule="exact"/>
        <w:rPr>
          <w:sz w:val="20"/>
          <w:szCs w:val="20"/>
          <w:color w:val="auto"/>
        </w:rPr>
      </w:pPr>
    </w:p>
    <w:p>
      <w:pPr>
        <w:ind w:left="220" w:right="299" w:firstLine="343"/>
        <w:spacing w:after="0" w:line="235" w:lineRule="auto"/>
        <w:rPr>
          <w:sz w:val="20"/>
          <w:szCs w:val="20"/>
          <w:color w:val="auto"/>
        </w:rPr>
      </w:pPr>
      <w:r>
        <w:rPr>
          <w:rFonts w:ascii="Calibri" w:cs="Calibri" w:eastAsia="Calibri" w:hAnsi="Calibri"/>
          <w:sz w:val="14"/>
          <w:szCs w:val="14"/>
          <w:color w:val="auto"/>
        </w:rPr>
        <w:t>Each global debt security representng book-entry debt securites will be deposited with, or on behalf of, the depositary, and registered in the name of the depositary or a nominee of the depositary.</w:t>
      </w:r>
    </w:p>
    <w:p>
      <w:pPr>
        <w:spacing w:after="0" w:line="250" w:lineRule="exact"/>
        <w:rPr>
          <w:sz w:val="20"/>
          <w:szCs w:val="20"/>
          <w:color w:val="auto"/>
        </w:rPr>
      </w:pPr>
    </w:p>
    <w:p>
      <w:pPr>
        <w:ind w:left="220"/>
        <w:spacing w:after="0"/>
        <w:rPr>
          <w:sz w:val="20"/>
          <w:szCs w:val="20"/>
          <w:color w:val="auto"/>
        </w:rPr>
      </w:pPr>
      <w:r>
        <w:rPr>
          <w:rFonts w:ascii="Calibri" w:cs="Calibri" w:eastAsia="Calibri" w:hAnsi="Calibri"/>
          <w:sz w:val="14"/>
          <w:szCs w:val="14"/>
          <w:b w:val="1"/>
          <w:bCs w:val="1"/>
          <w:color w:val="auto"/>
        </w:rPr>
        <w:t>Covenants</w:t>
      </w:r>
    </w:p>
    <w:p>
      <w:pPr>
        <w:spacing w:after="0" w:line="81" w:lineRule="exact"/>
        <w:rPr>
          <w:sz w:val="20"/>
          <w:szCs w:val="20"/>
          <w:color w:val="auto"/>
        </w:rPr>
      </w:pPr>
    </w:p>
    <w:p>
      <w:pPr>
        <w:ind w:left="560"/>
        <w:spacing w:after="0"/>
        <w:rPr>
          <w:sz w:val="20"/>
          <w:szCs w:val="20"/>
          <w:color w:val="auto"/>
        </w:rPr>
      </w:pPr>
      <w:r>
        <w:rPr>
          <w:rFonts w:ascii="Calibri" w:cs="Calibri" w:eastAsia="Calibri" w:hAnsi="Calibri"/>
          <w:sz w:val="14"/>
          <w:szCs w:val="14"/>
          <w:color w:val="auto"/>
        </w:rPr>
        <w:t>We will set forth in the applicable prospectus supplement any restrictve covenants applicable to any issue or series of debt securites.</w:t>
      </w:r>
    </w:p>
    <w:p>
      <w:pPr>
        <w:spacing w:after="0" w:line="249" w:lineRule="exact"/>
        <w:rPr>
          <w:sz w:val="20"/>
          <w:szCs w:val="20"/>
          <w:color w:val="auto"/>
        </w:rPr>
      </w:pPr>
    </w:p>
    <w:p>
      <w:pPr>
        <w:ind w:left="220"/>
        <w:spacing w:after="0"/>
        <w:rPr>
          <w:sz w:val="20"/>
          <w:szCs w:val="20"/>
          <w:color w:val="auto"/>
        </w:rPr>
      </w:pPr>
      <w:r>
        <w:rPr>
          <w:rFonts w:ascii="Calibri" w:cs="Calibri" w:eastAsia="Calibri" w:hAnsi="Calibri"/>
          <w:sz w:val="14"/>
          <w:szCs w:val="14"/>
          <w:b w:val="1"/>
          <w:bCs w:val="1"/>
          <w:color w:val="auto"/>
        </w:rPr>
        <w:t>No Protecton in the Event of a Change of Control</w:t>
      </w:r>
    </w:p>
    <w:p>
      <w:pPr>
        <w:spacing w:after="0" w:line="85" w:lineRule="exact"/>
        <w:rPr>
          <w:sz w:val="20"/>
          <w:szCs w:val="20"/>
          <w:color w:val="auto"/>
        </w:rPr>
      </w:pPr>
    </w:p>
    <w:p>
      <w:pPr>
        <w:ind w:left="220" w:right="259" w:firstLine="343"/>
        <w:spacing w:after="0" w:line="235" w:lineRule="auto"/>
        <w:rPr>
          <w:sz w:val="20"/>
          <w:szCs w:val="20"/>
          <w:color w:val="auto"/>
        </w:rPr>
      </w:pPr>
      <w:r>
        <w:rPr>
          <w:rFonts w:ascii="Calibri" w:cs="Calibri" w:eastAsia="Calibri" w:hAnsi="Calibri"/>
          <w:sz w:val="14"/>
          <w:szCs w:val="14"/>
          <w:color w:val="auto"/>
        </w:rPr>
        <w:t>Unless we state otherwise in the applicable prospectus supplement, the debt securites will not contain any provisions which may provide holders of the debt securites protecton in the event we have a change in control or in the event of a highly leveraged transacton (whether or not such transacton results in a change in control) which could adversely afect holders of debt securites.</w:t>
      </w:r>
    </w:p>
    <w:p>
      <w:pPr>
        <w:spacing w:after="0" w:line="114" w:lineRule="exact"/>
        <w:rPr>
          <w:sz w:val="20"/>
          <w:szCs w:val="20"/>
          <w:color w:val="auto"/>
        </w:rPr>
      </w:pPr>
    </w:p>
    <w:p>
      <w:pPr>
        <w:jc w:val="center"/>
        <w:ind w:right="19"/>
        <w:spacing w:after="0"/>
        <w:rPr>
          <w:sz w:val="20"/>
          <w:szCs w:val="20"/>
          <w:color w:val="auto"/>
        </w:rPr>
      </w:pPr>
      <w:r>
        <w:rPr>
          <w:rFonts w:ascii="Calibri" w:cs="Calibri" w:eastAsia="Calibri" w:hAnsi="Calibri"/>
          <w:sz w:val="14"/>
          <w:szCs w:val="14"/>
          <w:color w:val="auto"/>
        </w:rPr>
        <w:t>-11-</w:t>
      </w:r>
    </w:p>
    <w:p>
      <w:pPr>
        <w:sectPr>
          <w:pgSz w:w="11900" w:h="16838" w:orient="portrait"/>
          <w:cols w:equalWidth="0" w:num="1">
            <w:col w:w="9019"/>
          </w:cols>
          <w:pgMar w:left="1440" w:top="238" w:right="1440" w:bottom="1440" w:gutter="0" w:footer="0" w:header="0"/>
        </w:sectPr>
      </w:pPr>
    </w:p>
    <w:bookmarkStart w:id="54" w:name="page55"/>
    <w:bookmarkEnd w:id="54"/>
    <w:p>
      <w:pPr>
        <w:ind w:left="220"/>
        <w:spacing w:after="0"/>
        <w:rPr>
          <w:sz w:val="20"/>
          <w:szCs w:val="20"/>
          <w:color w:val="auto"/>
        </w:rPr>
      </w:pPr>
      <w:r>
        <w:rPr>
          <w:rFonts w:ascii="Calibri" w:cs="Calibri" w:eastAsia="Calibri" w:hAnsi="Calibri"/>
          <w:sz w:val="14"/>
          <w:szCs w:val="14"/>
          <w:b w:val="1"/>
          <w:bCs w:val="1"/>
          <w:color w:val="auto"/>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82">
                      <a:extLst>
                        <a:ext uri="{28A0092B-C50C-407E-A947-70E740481C1C}"/>
                      </a:extLst>
                    </a:blip>
                    <a:srcRect/>
                    <a:stretch>
                      <a:fillRect/>
                    </a:stretch>
                  </pic:blipFill>
                  <pic:spPr bwMode="auto">
                    <a:xfrm>
                      <a:off x="0" y="0"/>
                      <a:ext cx="7201535" cy="33020"/>
                    </a:xfrm>
                    <a:prstGeom prst="rect">
                      <a:avLst/>
                    </a:prstGeom>
                    <a:noFill/>
                  </pic:spPr>
                </pic:pic>
              </a:graphicData>
            </a:graphic>
          </wp:anchor>
        </w:drawing>
        <w:t>Consolidaton, Merger and Sale of Assets</w:t>
      </w:r>
    </w:p>
    <w:p>
      <w:pPr>
        <w:spacing w:after="0" w:line="85" w:lineRule="exact"/>
        <w:rPr>
          <w:sz w:val="20"/>
          <w:szCs w:val="20"/>
          <w:color w:val="auto"/>
        </w:rPr>
      </w:pPr>
    </w:p>
    <w:p>
      <w:pPr>
        <w:ind w:left="220" w:right="479" w:firstLine="343"/>
        <w:spacing w:after="0" w:line="235" w:lineRule="auto"/>
        <w:rPr>
          <w:sz w:val="20"/>
          <w:szCs w:val="20"/>
          <w:color w:val="auto"/>
        </w:rPr>
      </w:pPr>
      <w:r>
        <w:rPr>
          <w:rFonts w:ascii="Calibri" w:cs="Calibri" w:eastAsia="Calibri" w:hAnsi="Calibri"/>
          <w:sz w:val="14"/>
          <w:szCs w:val="14"/>
          <w:color w:val="auto"/>
        </w:rPr>
        <w:t>We may not consolidate with or merge with or into, or convey, transfer or lease all or substantally all of our propertes and assets to any person, which we refer to as a successor person, unless:</w:t>
      </w:r>
    </w:p>
    <w:p>
      <w:pPr>
        <w:spacing w:after="0" w:line="96" w:lineRule="exact"/>
        <w:rPr>
          <w:sz w:val="20"/>
          <w:szCs w:val="20"/>
          <w:color w:val="auto"/>
        </w:rPr>
      </w:pPr>
    </w:p>
    <w:p>
      <w:pPr>
        <w:ind w:left="980" w:right="399" w:hanging="341"/>
        <w:spacing w:after="0" w:line="235" w:lineRule="auto"/>
        <w:tabs>
          <w:tab w:leader="none" w:pos="980" w:val="left"/>
        </w:tabs>
        <w:numPr>
          <w:ilvl w:val="0"/>
          <w:numId w:val="27"/>
        </w:numPr>
        <w:rPr>
          <w:rFonts w:ascii="Calibri" w:cs="Calibri" w:eastAsia="Calibri" w:hAnsi="Calibri"/>
          <w:sz w:val="14"/>
          <w:szCs w:val="14"/>
          <w:color w:val="auto"/>
        </w:rPr>
      </w:pPr>
      <w:r>
        <w:rPr>
          <w:rFonts w:ascii="Calibri" w:cs="Calibri" w:eastAsia="Calibri" w:hAnsi="Calibri"/>
          <w:sz w:val="14"/>
          <w:szCs w:val="14"/>
          <w:color w:val="auto"/>
        </w:rPr>
        <w:t>we are the surviving corporaton or the successor person (if other than us) is a corporaton organized and validly existng under the laws of any U.S. domestc jurisdicton and expressly assumes our obligatons on the debt securites and under the indenture; and</w:t>
      </w:r>
    </w:p>
    <w:p>
      <w:pPr>
        <w:spacing w:after="0" w:line="92" w:lineRule="exact"/>
        <w:rPr>
          <w:rFonts w:ascii="Calibri" w:cs="Calibri" w:eastAsia="Calibri" w:hAnsi="Calibri"/>
          <w:sz w:val="14"/>
          <w:szCs w:val="14"/>
          <w:color w:val="auto"/>
        </w:rPr>
      </w:pPr>
    </w:p>
    <w:p>
      <w:pPr>
        <w:ind w:left="980" w:hanging="341"/>
        <w:spacing w:after="0"/>
        <w:tabs>
          <w:tab w:leader="none" w:pos="980" w:val="left"/>
        </w:tabs>
        <w:numPr>
          <w:ilvl w:val="0"/>
          <w:numId w:val="27"/>
        </w:numPr>
        <w:rPr>
          <w:rFonts w:ascii="Calibri" w:cs="Calibri" w:eastAsia="Calibri" w:hAnsi="Calibri"/>
          <w:sz w:val="14"/>
          <w:szCs w:val="14"/>
          <w:color w:val="auto"/>
        </w:rPr>
      </w:pPr>
      <w:r>
        <w:rPr>
          <w:rFonts w:ascii="Calibri" w:cs="Calibri" w:eastAsia="Calibri" w:hAnsi="Calibri"/>
          <w:sz w:val="14"/>
          <w:szCs w:val="14"/>
          <w:color w:val="auto"/>
        </w:rPr>
        <w:t>immediately afer giving efect to the transacton, no Default or Event of Default, shall have occurred and be contnuing.</w:t>
      </w:r>
    </w:p>
    <w:p>
      <w:pPr>
        <w:spacing w:after="0" w:line="165" w:lineRule="exact"/>
        <w:rPr>
          <w:sz w:val="20"/>
          <w:szCs w:val="20"/>
          <w:color w:val="auto"/>
        </w:rPr>
      </w:pPr>
    </w:p>
    <w:p>
      <w:pPr>
        <w:ind w:left="560"/>
        <w:spacing w:after="0"/>
        <w:rPr>
          <w:sz w:val="20"/>
          <w:szCs w:val="20"/>
          <w:color w:val="auto"/>
        </w:rPr>
      </w:pPr>
      <w:r>
        <w:rPr>
          <w:rFonts w:ascii="Calibri" w:cs="Calibri" w:eastAsia="Calibri" w:hAnsi="Calibri"/>
          <w:sz w:val="14"/>
          <w:szCs w:val="14"/>
          <w:color w:val="auto"/>
        </w:rPr>
        <w:t>Notwithstanding the above, any of our subsidiaries may consolidate with, merge into or transfer all or part of its propertes to us.</w:t>
      </w:r>
    </w:p>
    <w:p>
      <w:pPr>
        <w:spacing w:after="0" w:line="249" w:lineRule="exact"/>
        <w:rPr>
          <w:sz w:val="20"/>
          <w:szCs w:val="20"/>
          <w:color w:val="auto"/>
        </w:rPr>
      </w:pPr>
    </w:p>
    <w:p>
      <w:pPr>
        <w:ind w:left="220"/>
        <w:spacing w:after="0"/>
        <w:rPr>
          <w:sz w:val="20"/>
          <w:szCs w:val="20"/>
          <w:color w:val="auto"/>
        </w:rPr>
      </w:pPr>
      <w:r>
        <w:rPr>
          <w:rFonts w:ascii="Calibri" w:cs="Calibri" w:eastAsia="Calibri" w:hAnsi="Calibri"/>
          <w:sz w:val="14"/>
          <w:szCs w:val="14"/>
          <w:b w:val="1"/>
          <w:bCs w:val="1"/>
          <w:color w:val="auto"/>
        </w:rPr>
        <w:t>Events of Default</w:t>
      </w:r>
    </w:p>
    <w:p>
      <w:pPr>
        <w:spacing w:after="0" w:line="81" w:lineRule="exact"/>
        <w:rPr>
          <w:sz w:val="20"/>
          <w:szCs w:val="20"/>
          <w:color w:val="auto"/>
        </w:rPr>
      </w:pPr>
    </w:p>
    <w:p>
      <w:pPr>
        <w:ind w:left="560"/>
        <w:spacing w:after="0"/>
        <w:rPr>
          <w:sz w:val="20"/>
          <w:szCs w:val="20"/>
          <w:color w:val="auto"/>
        </w:rPr>
      </w:pPr>
      <w:r>
        <w:rPr>
          <w:rFonts w:ascii="Calibri" w:cs="Calibri" w:eastAsia="Calibri" w:hAnsi="Calibri"/>
          <w:sz w:val="14"/>
          <w:szCs w:val="14"/>
          <w:color w:val="auto"/>
        </w:rPr>
        <w:t>“Event of Default” means with respect to any series of debt securites, any of the following:</w:t>
      </w:r>
    </w:p>
    <w:p>
      <w:pPr>
        <w:spacing w:after="0" w:line="96" w:lineRule="exact"/>
        <w:rPr>
          <w:sz w:val="20"/>
          <w:szCs w:val="20"/>
          <w:color w:val="auto"/>
        </w:rPr>
      </w:pPr>
    </w:p>
    <w:p>
      <w:pPr>
        <w:ind w:left="980" w:right="379" w:hanging="341"/>
        <w:spacing w:after="0" w:line="235" w:lineRule="auto"/>
        <w:tabs>
          <w:tab w:leader="none" w:pos="980" w:val="left"/>
        </w:tabs>
        <w:numPr>
          <w:ilvl w:val="0"/>
          <w:numId w:val="28"/>
        </w:numPr>
        <w:rPr>
          <w:rFonts w:ascii="Calibri" w:cs="Calibri" w:eastAsia="Calibri" w:hAnsi="Calibri"/>
          <w:sz w:val="14"/>
          <w:szCs w:val="14"/>
          <w:color w:val="auto"/>
        </w:rPr>
      </w:pPr>
      <w:r>
        <w:rPr>
          <w:rFonts w:ascii="Calibri" w:cs="Calibri" w:eastAsia="Calibri" w:hAnsi="Calibri"/>
          <w:sz w:val="14"/>
          <w:szCs w:val="14"/>
          <w:color w:val="auto"/>
        </w:rPr>
        <w:t>default in the payment of any interest upon any debt security of that series when it becomes due and payable, and contnuance of such default for a period of 30 days (unless the entre amount of the payment is deposited by us with the trustee or with a paying agent prior to the expiraton of the 30-day period);</w:t>
      </w:r>
    </w:p>
    <w:p>
      <w:pPr>
        <w:spacing w:after="0" w:line="92" w:lineRule="exact"/>
        <w:rPr>
          <w:rFonts w:ascii="Calibri" w:cs="Calibri" w:eastAsia="Calibri" w:hAnsi="Calibri"/>
          <w:sz w:val="14"/>
          <w:szCs w:val="14"/>
          <w:color w:val="auto"/>
        </w:rPr>
      </w:pPr>
    </w:p>
    <w:p>
      <w:pPr>
        <w:ind w:left="980" w:hanging="341"/>
        <w:spacing w:after="0"/>
        <w:tabs>
          <w:tab w:leader="none" w:pos="980" w:val="left"/>
        </w:tabs>
        <w:numPr>
          <w:ilvl w:val="0"/>
          <w:numId w:val="28"/>
        </w:numPr>
        <w:rPr>
          <w:rFonts w:ascii="Calibri" w:cs="Calibri" w:eastAsia="Calibri" w:hAnsi="Calibri"/>
          <w:sz w:val="14"/>
          <w:szCs w:val="14"/>
          <w:color w:val="auto"/>
        </w:rPr>
      </w:pPr>
      <w:r>
        <w:rPr>
          <w:rFonts w:ascii="Calibri" w:cs="Calibri" w:eastAsia="Calibri" w:hAnsi="Calibri"/>
          <w:sz w:val="14"/>
          <w:szCs w:val="14"/>
          <w:color w:val="auto"/>
        </w:rPr>
        <w:t>default in the payment of principal of any security of that series at its maturity;</w:t>
      </w:r>
    </w:p>
    <w:p>
      <w:pPr>
        <w:spacing w:after="0" w:line="95" w:lineRule="exact"/>
        <w:rPr>
          <w:rFonts w:ascii="Calibri" w:cs="Calibri" w:eastAsia="Calibri" w:hAnsi="Calibri"/>
          <w:sz w:val="14"/>
          <w:szCs w:val="14"/>
          <w:color w:val="auto"/>
        </w:rPr>
      </w:pPr>
    </w:p>
    <w:p>
      <w:pPr>
        <w:ind w:left="980" w:right="299" w:hanging="341"/>
        <w:spacing w:after="0" w:line="235" w:lineRule="auto"/>
        <w:tabs>
          <w:tab w:leader="none" w:pos="980" w:val="left"/>
        </w:tabs>
        <w:numPr>
          <w:ilvl w:val="0"/>
          <w:numId w:val="28"/>
        </w:numPr>
        <w:rPr>
          <w:rFonts w:ascii="Calibri" w:cs="Calibri" w:eastAsia="Calibri" w:hAnsi="Calibri"/>
          <w:sz w:val="14"/>
          <w:szCs w:val="14"/>
          <w:color w:val="auto"/>
        </w:rPr>
      </w:pPr>
      <w:r>
        <w:rPr>
          <w:rFonts w:ascii="Calibri" w:cs="Calibri" w:eastAsia="Calibri" w:hAnsi="Calibri"/>
          <w:sz w:val="14"/>
          <w:szCs w:val="14"/>
          <w:color w:val="auto"/>
        </w:rPr>
        <w:t>default in the performance or breach of any other covenant or warranty by us in the indenture (other than a covenant or warranty that has been included in the indenture solely for the beneft of a series of debt securites other than that series), which default contnues uncured for a period of 60 days afer we receive writen notce from the trustee, or we and the trustee receive writen notce from the holders of not less than 25% in principal amount of the outstanding debt securites of that series as provided in the indenture;</w:t>
      </w:r>
    </w:p>
    <w:p>
      <w:pPr>
        <w:spacing w:after="0" w:line="93" w:lineRule="exact"/>
        <w:rPr>
          <w:rFonts w:ascii="Calibri" w:cs="Calibri" w:eastAsia="Calibri" w:hAnsi="Calibri"/>
          <w:sz w:val="14"/>
          <w:szCs w:val="14"/>
          <w:color w:val="auto"/>
        </w:rPr>
      </w:pPr>
    </w:p>
    <w:p>
      <w:pPr>
        <w:ind w:left="980" w:hanging="341"/>
        <w:spacing w:after="0"/>
        <w:tabs>
          <w:tab w:leader="none" w:pos="980" w:val="left"/>
        </w:tabs>
        <w:numPr>
          <w:ilvl w:val="0"/>
          <w:numId w:val="28"/>
        </w:numPr>
        <w:rPr>
          <w:rFonts w:ascii="Calibri" w:cs="Calibri" w:eastAsia="Calibri" w:hAnsi="Calibri"/>
          <w:sz w:val="14"/>
          <w:szCs w:val="14"/>
          <w:color w:val="auto"/>
        </w:rPr>
      </w:pPr>
      <w:r>
        <w:rPr>
          <w:rFonts w:ascii="Calibri" w:cs="Calibri" w:eastAsia="Calibri" w:hAnsi="Calibri"/>
          <w:sz w:val="14"/>
          <w:szCs w:val="14"/>
          <w:color w:val="auto"/>
        </w:rPr>
        <w:t>certain voluntary or involuntary events of bankruptcy, insolvency or reorganizaton of us; and</w:t>
      </w:r>
    </w:p>
    <w:p>
      <w:pPr>
        <w:spacing w:after="0" w:line="95" w:lineRule="exact"/>
        <w:rPr>
          <w:rFonts w:ascii="Calibri" w:cs="Calibri" w:eastAsia="Calibri" w:hAnsi="Calibri"/>
          <w:sz w:val="14"/>
          <w:szCs w:val="14"/>
          <w:color w:val="auto"/>
        </w:rPr>
      </w:pPr>
    </w:p>
    <w:p>
      <w:pPr>
        <w:ind w:left="980" w:hanging="341"/>
        <w:spacing w:after="0"/>
        <w:tabs>
          <w:tab w:leader="none" w:pos="980" w:val="left"/>
        </w:tabs>
        <w:numPr>
          <w:ilvl w:val="0"/>
          <w:numId w:val="28"/>
        </w:numPr>
        <w:rPr>
          <w:rFonts w:ascii="Calibri" w:cs="Calibri" w:eastAsia="Calibri" w:hAnsi="Calibri"/>
          <w:sz w:val="13"/>
          <w:szCs w:val="13"/>
          <w:color w:val="auto"/>
        </w:rPr>
      </w:pPr>
      <w:r>
        <w:rPr>
          <w:rFonts w:ascii="Calibri" w:cs="Calibri" w:eastAsia="Calibri" w:hAnsi="Calibri"/>
          <w:sz w:val="13"/>
          <w:szCs w:val="13"/>
          <w:color w:val="auto"/>
        </w:rPr>
        <w:t>any other Event of Default provided with respect to debt securites of that series that is described in the applicable prospectus supplement.</w:t>
      </w:r>
    </w:p>
    <w:p>
      <w:pPr>
        <w:spacing w:after="0" w:line="177" w:lineRule="exact"/>
        <w:rPr>
          <w:sz w:val="20"/>
          <w:szCs w:val="20"/>
          <w:color w:val="auto"/>
        </w:rPr>
      </w:pPr>
    </w:p>
    <w:p>
      <w:pPr>
        <w:ind w:left="220" w:right="279" w:firstLine="343"/>
        <w:spacing w:after="0" w:line="260" w:lineRule="auto"/>
        <w:rPr>
          <w:sz w:val="20"/>
          <w:szCs w:val="20"/>
          <w:color w:val="auto"/>
        </w:rPr>
      </w:pPr>
      <w:r>
        <w:rPr>
          <w:rFonts w:ascii="Calibri" w:cs="Calibri" w:eastAsia="Calibri" w:hAnsi="Calibri"/>
          <w:sz w:val="13"/>
          <w:szCs w:val="13"/>
          <w:color w:val="auto"/>
        </w:rPr>
        <w:t>No Event of Default with respect to a partcular series of debt securites (except as to certain events of bankruptcy, insolvency or reorganizaton) necessarily consttutes an Event of Default with respect to any other series of debt securites. The occurrence of certain Events of Default or an acceleraton under the indenture may consttute an event of default under certain indebtedness of ours or our subsidiaries outstanding from tme to tme.</w:t>
      </w:r>
    </w:p>
    <w:p>
      <w:pPr>
        <w:spacing w:after="0" w:line="156" w:lineRule="exact"/>
        <w:rPr>
          <w:sz w:val="20"/>
          <w:szCs w:val="20"/>
          <w:color w:val="auto"/>
        </w:rPr>
      </w:pPr>
    </w:p>
    <w:p>
      <w:pPr>
        <w:jc w:val="both"/>
        <w:ind w:left="220" w:right="299" w:firstLine="343"/>
        <w:spacing w:after="0" w:line="235" w:lineRule="auto"/>
        <w:rPr>
          <w:sz w:val="20"/>
          <w:szCs w:val="20"/>
          <w:color w:val="auto"/>
        </w:rPr>
      </w:pPr>
      <w:r>
        <w:rPr>
          <w:rFonts w:ascii="Calibri" w:cs="Calibri" w:eastAsia="Calibri" w:hAnsi="Calibri"/>
          <w:sz w:val="14"/>
          <w:szCs w:val="14"/>
          <w:color w:val="auto"/>
        </w:rPr>
        <w:t>We will provide the trustee writen notce of any Default or Event of Default within 30 days of becoming aware of the occurrence of such Default or Event of Default, which notce will describe in reasonable detail the status of such Default or Event of Default and what acton we are taking or propose to take in respect thereof.</w:t>
      </w:r>
    </w:p>
    <w:p>
      <w:pPr>
        <w:spacing w:after="0" w:line="170" w:lineRule="exact"/>
        <w:rPr>
          <w:sz w:val="20"/>
          <w:szCs w:val="20"/>
          <w:color w:val="auto"/>
        </w:rPr>
      </w:pPr>
    </w:p>
    <w:p>
      <w:pPr>
        <w:ind w:left="220" w:right="239" w:firstLine="343"/>
        <w:spacing w:after="0" w:line="235" w:lineRule="auto"/>
        <w:rPr>
          <w:sz w:val="20"/>
          <w:szCs w:val="20"/>
          <w:color w:val="auto"/>
        </w:rPr>
      </w:pPr>
      <w:r>
        <w:rPr>
          <w:rFonts w:ascii="Calibri" w:cs="Calibri" w:eastAsia="Calibri" w:hAnsi="Calibri"/>
          <w:sz w:val="14"/>
          <w:szCs w:val="14"/>
          <w:color w:val="auto"/>
        </w:rPr>
        <w:t>If an Event of Default with respect to debt securites of any series at the tme outstanding occurs and is contnuing (except an Event of Default resultng from certain events of bankruptcy, insolvency, or reorganizaton as described below), then the trustee or the holders of not less than 25% in principal amount of the outstanding debt securites of that series may, by a notce in writng to us (and to the trustee if given by the holders), declare to be due and payable immediately the principal of (or, if the debt securites of that series are discount securites, that porton of the principal amount as may be specifed in the terms of that series) and accrued and unpaid interest, if any, on all debt securites of that series. In the case of an Event of Default resultng from certain events of bankruptcy, insolvency or reorganizaton, the principal (or such specifed</w:t>
      </w:r>
    </w:p>
    <w:p>
      <w:pPr>
        <w:spacing w:after="0" w:line="116" w:lineRule="exact"/>
        <w:rPr>
          <w:sz w:val="20"/>
          <w:szCs w:val="20"/>
          <w:color w:val="auto"/>
        </w:rPr>
      </w:pPr>
    </w:p>
    <w:p>
      <w:pPr>
        <w:jc w:val="center"/>
        <w:ind w:right="19"/>
        <w:spacing w:after="0"/>
        <w:rPr>
          <w:sz w:val="20"/>
          <w:szCs w:val="20"/>
          <w:color w:val="auto"/>
        </w:rPr>
      </w:pPr>
      <w:r>
        <w:rPr>
          <w:rFonts w:ascii="Calibri" w:cs="Calibri" w:eastAsia="Calibri" w:hAnsi="Calibri"/>
          <w:sz w:val="14"/>
          <w:szCs w:val="14"/>
          <w:color w:val="auto"/>
        </w:rPr>
        <w:t>-12-</w:t>
      </w:r>
    </w:p>
    <w:p>
      <w:pPr>
        <w:sectPr>
          <w:pgSz w:w="11900" w:h="16838" w:orient="portrait"/>
          <w:cols w:equalWidth="0" w:num="1">
            <w:col w:w="9019"/>
          </w:cols>
          <w:pgMar w:left="1440" w:top="234" w:right="1440" w:bottom="1440" w:gutter="0" w:footer="0" w:header="0"/>
        </w:sectPr>
      </w:pPr>
    </w:p>
    <w:bookmarkStart w:id="55" w:name="page56"/>
    <w:bookmarkEnd w:id="55"/>
    <w:p>
      <w:pPr>
        <w:ind w:left="220" w:right="239"/>
        <w:spacing w:after="0" w:line="256" w:lineRule="auto"/>
        <w:rPr>
          <w:sz w:val="20"/>
          <w:szCs w:val="20"/>
          <w:color w:val="auto"/>
        </w:rPr>
      </w:pPr>
      <w:r>
        <w:rPr>
          <w:rFonts w:ascii="Calibri" w:cs="Calibri" w:eastAsia="Calibri" w:hAnsi="Calibri"/>
          <w:sz w:val="13"/>
          <w:szCs w:val="13"/>
          <w:color w:val="auto"/>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83">
                      <a:extLst>
                        <a:ext uri="{28A0092B-C50C-407E-A947-70E740481C1C}"/>
                      </a:extLst>
                    </a:blip>
                    <a:srcRect/>
                    <a:stretch>
                      <a:fillRect/>
                    </a:stretch>
                  </pic:blipFill>
                  <pic:spPr bwMode="auto">
                    <a:xfrm>
                      <a:off x="0" y="0"/>
                      <a:ext cx="7201535" cy="33020"/>
                    </a:xfrm>
                    <a:prstGeom prst="rect">
                      <a:avLst/>
                    </a:prstGeom>
                    <a:noFill/>
                  </pic:spPr>
                </pic:pic>
              </a:graphicData>
            </a:graphic>
          </wp:anchor>
        </w:drawing>
        <w:t>amount) of and accrued and unpaid interest, if any, on all outstanding debt securites will become and be immediately due and payable without any declaraton or other act on the part of the trustee or any holder of outstanding debt securites. At any tme afer a declaraton of acceleraton with respect to debt securites of any series has been made, but before a judgment or decree for payment of the money due has been obtained by the trustee, the holders of a majority in principal amount of the outstanding debt securites of that series may rescind and annul the acceleraton if all Events of Default, other than the non-payment of accelerated principal and interest, if any, with respect to debt securites of that series, have been cured or waived as provided in the indenture. We refer you to the prospectus supplement relatng to any series of debt securites that are discount securites for the partcular provisions relatng to acceleraton of a porton of the principal amount of such discount securites upon the occurrence of an Event of Default.</w:t>
      </w:r>
    </w:p>
    <w:p>
      <w:pPr>
        <w:spacing w:after="0" w:line="159" w:lineRule="exact"/>
        <w:rPr>
          <w:sz w:val="20"/>
          <w:szCs w:val="20"/>
          <w:color w:val="auto"/>
        </w:rPr>
      </w:pPr>
    </w:p>
    <w:p>
      <w:pPr>
        <w:ind w:left="220" w:right="339" w:firstLine="343"/>
        <w:spacing w:after="0" w:line="235" w:lineRule="auto"/>
        <w:rPr>
          <w:sz w:val="20"/>
          <w:szCs w:val="20"/>
          <w:color w:val="auto"/>
        </w:rPr>
      </w:pPr>
      <w:r>
        <w:rPr>
          <w:rFonts w:ascii="Calibri" w:cs="Calibri" w:eastAsia="Calibri" w:hAnsi="Calibri"/>
          <w:sz w:val="14"/>
          <w:szCs w:val="14"/>
          <w:color w:val="auto"/>
        </w:rPr>
        <w:t>The indenture will provide that the trustee may refuse to perform any duty or exercise any of its rights or powers under the indenture unless the trustee receives indemnity satsfactory to it against any cost, liability or expense which might be incurred by it in performing such duty or exercising such right or power. Subject to certain rights of the trustee, the holders of a majority in principal amount of the outstanding debt securites of any series will have the right to direct the tme, method and place of conductng any proceeding for any remedy available to the trustee or exercising any trust or power conferred on the trustee with respect to the debt securites of that series.</w:t>
      </w:r>
    </w:p>
    <w:p>
      <w:pPr>
        <w:spacing w:after="0" w:line="172" w:lineRule="exact"/>
        <w:rPr>
          <w:sz w:val="20"/>
          <w:szCs w:val="20"/>
          <w:color w:val="auto"/>
        </w:rPr>
      </w:pPr>
    </w:p>
    <w:p>
      <w:pPr>
        <w:ind w:left="220" w:right="279" w:firstLine="343"/>
        <w:spacing w:after="0" w:line="235" w:lineRule="auto"/>
        <w:rPr>
          <w:sz w:val="20"/>
          <w:szCs w:val="20"/>
          <w:color w:val="auto"/>
        </w:rPr>
      </w:pPr>
      <w:r>
        <w:rPr>
          <w:rFonts w:ascii="Calibri" w:cs="Calibri" w:eastAsia="Calibri" w:hAnsi="Calibri"/>
          <w:sz w:val="14"/>
          <w:szCs w:val="14"/>
          <w:color w:val="auto"/>
        </w:rPr>
        <w:t>No holder of any debt security of any series will have any right to insttute any proceeding, judicial or otherwise, with respect to the indenture or for the appointment of a receiver or trustee, or for any remedy under the indenture, unless:</w:t>
      </w:r>
    </w:p>
    <w:p>
      <w:pPr>
        <w:spacing w:after="0" w:line="96" w:lineRule="exact"/>
        <w:rPr>
          <w:sz w:val="20"/>
          <w:szCs w:val="20"/>
          <w:color w:val="auto"/>
        </w:rPr>
      </w:pPr>
    </w:p>
    <w:p>
      <w:pPr>
        <w:ind w:left="980" w:right="399" w:hanging="341"/>
        <w:spacing w:after="0" w:line="235" w:lineRule="auto"/>
        <w:tabs>
          <w:tab w:leader="none" w:pos="980" w:val="left"/>
        </w:tabs>
        <w:numPr>
          <w:ilvl w:val="0"/>
          <w:numId w:val="29"/>
        </w:numPr>
        <w:rPr>
          <w:rFonts w:ascii="Calibri" w:cs="Calibri" w:eastAsia="Calibri" w:hAnsi="Calibri"/>
          <w:sz w:val="14"/>
          <w:szCs w:val="14"/>
          <w:color w:val="auto"/>
        </w:rPr>
      </w:pPr>
      <w:r>
        <w:rPr>
          <w:rFonts w:ascii="Calibri" w:cs="Calibri" w:eastAsia="Calibri" w:hAnsi="Calibri"/>
          <w:sz w:val="14"/>
          <w:szCs w:val="14"/>
          <w:color w:val="auto"/>
        </w:rPr>
        <w:t>that holder has previously given to the trustee writen notce of a contnuing Event of Default with respect to debt securites of that series; and</w:t>
      </w:r>
    </w:p>
    <w:p>
      <w:pPr>
        <w:spacing w:after="0" w:line="95" w:lineRule="exact"/>
        <w:rPr>
          <w:rFonts w:ascii="Calibri" w:cs="Calibri" w:eastAsia="Calibri" w:hAnsi="Calibri"/>
          <w:sz w:val="14"/>
          <w:szCs w:val="14"/>
          <w:color w:val="auto"/>
        </w:rPr>
      </w:pPr>
    </w:p>
    <w:p>
      <w:pPr>
        <w:ind w:left="980" w:right="259" w:hanging="341"/>
        <w:spacing w:after="0" w:line="235" w:lineRule="auto"/>
        <w:tabs>
          <w:tab w:leader="none" w:pos="980" w:val="left"/>
        </w:tabs>
        <w:numPr>
          <w:ilvl w:val="0"/>
          <w:numId w:val="29"/>
        </w:numPr>
        <w:rPr>
          <w:rFonts w:ascii="Calibri" w:cs="Calibri" w:eastAsia="Calibri" w:hAnsi="Calibri"/>
          <w:sz w:val="14"/>
          <w:szCs w:val="14"/>
          <w:color w:val="auto"/>
        </w:rPr>
      </w:pPr>
      <w:r>
        <w:rPr>
          <w:rFonts w:ascii="Calibri" w:cs="Calibri" w:eastAsia="Calibri" w:hAnsi="Calibri"/>
          <w:sz w:val="14"/>
          <w:szCs w:val="14"/>
          <w:color w:val="auto"/>
        </w:rPr>
        <w:t>the holders of not less than 25% in principal amount of the outstanding debt securites of that series have made writen request, and ofered indemnity or security satsfactory to the trustee, to the trustee to insttute the proceeding as trustee, and the trustee has not received from the holders of not less than a majority in principal amount of the outstanding debt securites of that series a directon inconsistent with that request and has failed to insttute the proceeding within 60 days.</w:t>
      </w:r>
    </w:p>
    <w:p>
      <w:pPr>
        <w:spacing w:after="0" w:line="171" w:lineRule="exact"/>
        <w:rPr>
          <w:sz w:val="20"/>
          <w:szCs w:val="20"/>
          <w:color w:val="auto"/>
        </w:rPr>
      </w:pPr>
    </w:p>
    <w:p>
      <w:pPr>
        <w:ind w:left="220" w:right="359" w:firstLine="343"/>
        <w:spacing w:after="0" w:line="235" w:lineRule="auto"/>
        <w:rPr>
          <w:sz w:val="20"/>
          <w:szCs w:val="20"/>
          <w:color w:val="auto"/>
        </w:rPr>
      </w:pPr>
      <w:r>
        <w:rPr>
          <w:rFonts w:ascii="Calibri" w:cs="Calibri" w:eastAsia="Calibri" w:hAnsi="Calibri"/>
          <w:sz w:val="14"/>
          <w:szCs w:val="14"/>
          <w:color w:val="auto"/>
        </w:rPr>
        <w:t>Notwithstanding any other provision in the indenture, the holder of any debt security will have an absolute and unconditonal right to receive payment of the principal of, premium and any interest on that debt security on or afer the due dates expressed in that debt security and to insttute suit for the enforcement of payment.</w:t>
      </w:r>
    </w:p>
    <w:p>
      <w:pPr>
        <w:spacing w:after="0" w:line="170" w:lineRule="exact"/>
        <w:rPr>
          <w:sz w:val="20"/>
          <w:szCs w:val="20"/>
          <w:color w:val="auto"/>
        </w:rPr>
      </w:pPr>
    </w:p>
    <w:p>
      <w:pPr>
        <w:ind w:left="220" w:right="259" w:firstLine="343"/>
        <w:spacing w:after="0" w:line="235" w:lineRule="auto"/>
        <w:rPr>
          <w:sz w:val="20"/>
          <w:szCs w:val="20"/>
          <w:color w:val="auto"/>
        </w:rPr>
      </w:pPr>
      <w:r>
        <w:rPr>
          <w:rFonts w:ascii="Calibri" w:cs="Calibri" w:eastAsia="Calibri" w:hAnsi="Calibri"/>
          <w:sz w:val="14"/>
          <w:szCs w:val="14"/>
          <w:color w:val="auto"/>
        </w:rPr>
        <w:t>The indenture requires us, within 120 days afer the end of our fscal year, to furnish to the trustee a statement as to compliance with the indenture. If a Default or Event of Default occurs and is contnuing with respect to the securites of any series and if it is known to a responsible ofcer of the trustee, the trustee shall send to each securityholder of the securites of that series notce of a Default or Event of Default within 90 days afer it occurs or, if later, afer a responsible ofcer of the trustee has knowledge of such Default or Event of Default. The indenture will provide that the trustee may withhold notce to the holders of debt securites of any series of any Default or Event of Default (except in payment on any debt securites of that series) with respect to debt securites of that series if the trustee determines in good faith that withholding notce is in the interest of the holders of those debt securites.</w:t>
      </w:r>
    </w:p>
    <w:p>
      <w:pPr>
        <w:spacing w:after="0" w:line="253" w:lineRule="exact"/>
        <w:rPr>
          <w:sz w:val="20"/>
          <w:szCs w:val="20"/>
          <w:color w:val="auto"/>
        </w:rPr>
      </w:pPr>
    </w:p>
    <w:p>
      <w:pPr>
        <w:ind w:left="220"/>
        <w:spacing w:after="0"/>
        <w:rPr>
          <w:sz w:val="20"/>
          <w:szCs w:val="20"/>
          <w:color w:val="auto"/>
        </w:rPr>
      </w:pPr>
      <w:r>
        <w:rPr>
          <w:rFonts w:ascii="Calibri" w:cs="Calibri" w:eastAsia="Calibri" w:hAnsi="Calibri"/>
          <w:sz w:val="14"/>
          <w:szCs w:val="14"/>
          <w:b w:val="1"/>
          <w:bCs w:val="1"/>
          <w:color w:val="auto"/>
        </w:rPr>
        <w:t>Modifcaton and Waiver</w:t>
      </w:r>
    </w:p>
    <w:p>
      <w:pPr>
        <w:spacing w:after="0" w:line="85" w:lineRule="exact"/>
        <w:rPr>
          <w:sz w:val="20"/>
          <w:szCs w:val="20"/>
          <w:color w:val="auto"/>
        </w:rPr>
      </w:pPr>
    </w:p>
    <w:p>
      <w:pPr>
        <w:ind w:left="220" w:right="399" w:firstLine="343"/>
        <w:spacing w:after="0" w:line="235" w:lineRule="auto"/>
        <w:rPr>
          <w:sz w:val="20"/>
          <w:szCs w:val="20"/>
          <w:color w:val="auto"/>
        </w:rPr>
      </w:pPr>
      <w:r>
        <w:rPr>
          <w:rFonts w:ascii="Calibri" w:cs="Calibri" w:eastAsia="Calibri" w:hAnsi="Calibri"/>
          <w:sz w:val="14"/>
          <w:szCs w:val="14"/>
          <w:color w:val="auto"/>
        </w:rPr>
        <w:t>We and the trustee may modify, amend or supplement the indenture or the debt securites of any series without the consent of any holder of any debt security:</w:t>
      </w:r>
    </w:p>
    <w:p>
      <w:pPr>
        <w:spacing w:after="0" w:line="92" w:lineRule="exact"/>
        <w:rPr>
          <w:sz w:val="20"/>
          <w:szCs w:val="20"/>
          <w:color w:val="auto"/>
        </w:rPr>
      </w:pPr>
    </w:p>
    <w:p>
      <w:pPr>
        <w:ind w:left="980" w:hanging="341"/>
        <w:spacing w:after="0"/>
        <w:tabs>
          <w:tab w:leader="none" w:pos="980" w:val="left"/>
        </w:tabs>
        <w:numPr>
          <w:ilvl w:val="0"/>
          <w:numId w:val="30"/>
        </w:numPr>
        <w:rPr>
          <w:rFonts w:ascii="Calibri" w:cs="Calibri" w:eastAsia="Calibri" w:hAnsi="Calibri"/>
          <w:sz w:val="14"/>
          <w:szCs w:val="14"/>
          <w:color w:val="auto"/>
        </w:rPr>
      </w:pPr>
      <w:r>
        <w:rPr>
          <w:rFonts w:ascii="Calibri" w:cs="Calibri" w:eastAsia="Calibri" w:hAnsi="Calibri"/>
          <w:sz w:val="14"/>
          <w:szCs w:val="14"/>
          <w:color w:val="auto"/>
        </w:rPr>
        <w:t>to cure any ambiguity, defect or inconsistency;</w:t>
      </w:r>
    </w:p>
    <w:p>
      <w:pPr>
        <w:spacing w:after="0" w:line="95" w:lineRule="exact"/>
        <w:rPr>
          <w:rFonts w:ascii="Calibri" w:cs="Calibri" w:eastAsia="Calibri" w:hAnsi="Calibri"/>
          <w:sz w:val="14"/>
          <w:szCs w:val="14"/>
          <w:color w:val="auto"/>
        </w:rPr>
      </w:pPr>
    </w:p>
    <w:p>
      <w:pPr>
        <w:jc w:val="center"/>
        <w:ind w:left="4400" w:right="1259" w:hanging="3761"/>
        <w:spacing w:after="0" w:line="392" w:lineRule="auto"/>
        <w:tabs>
          <w:tab w:leader="none" w:pos="982" w:val="left"/>
        </w:tabs>
        <w:numPr>
          <w:ilvl w:val="0"/>
          <w:numId w:val="30"/>
        </w:numPr>
        <w:rPr>
          <w:rFonts w:ascii="Calibri" w:cs="Calibri" w:eastAsia="Calibri" w:hAnsi="Calibri"/>
          <w:sz w:val="14"/>
          <w:szCs w:val="14"/>
          <w:color w:val="auto"/>
        </w:rPr>
      </w:pPr>
      <w:r>
        <w:rPr>
          <w:rFonts w:ascii="Calibri" w:cs="Calibri" w:eastAsia="Calibri" w:hAnsi="Calibri"/>
          <w:sz w:val="14"/>
          <w:szCs w:val="14"/>
          <w:color w:val="auto"/>
        </w:rPr>
        <w:t>to comply with covenants in the indenture described above under the heading “Consolidaton, Merger and Sale of Assets”; -13-</w:t>
      </w:r>
    </w:p>
    <w:p>
      <w:pPr>
        <w:sectPr>
          <w:pgSz w:w="11900" w:h="16838" w:orient="portrait"/>
          <w:cols w:equalWidth="0" w:num="1">
            <w:col w:w="9019"/>
          </w:cols>
          <w:pgMar w:left="1440" w:top="238" w:right="1440" w:bottom="1440" w:gutter="0" w:footer="0" w:header="0"/>
        </w:sectPr>
      </w:pPr>
    </w:p>
    <w:bookmarkStart w:id="56" w:name="page57"/>
    <w:bookmarkEnd w:id="56"/>
    <w:p>
      <w:pPr>
        <w:ind w:left="980" w:hanging="341"/>
        <w:spacing w:after="0"/>
        <w:tabs>
          <w:tab w:leader="none" w:pos="980" w:val="left"/>
        </w:tabs>
        <w:numPr>
          <w:ilvl w:val="0"/>
          <w:numId w:val="31"/>
        </w:numPr>
        <w:rPr>
          <w:rFonts w:ascii="Calibri" w:cs="Calibri" w:eastAsia="Calibri" w:hAnsi="Calibri"/>
          <w:sz w:val="14"/>
          <w:szCs w:val="14"/>
          <w:color w:val="auto"/>
        </w:rPr>
      </w:pPr>
      <w:r>
        <w:rPr>
          <w:rFonts w:ascii="Calibri" w:cs="Calibri" w:eastAsia="Calibri" w:hAnsi="Calibri"/>
          <w:sz w:val="14"/>
          <w:szCs w:val="14"/>
          <w:color w:val="auto"/>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84">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to provide for uncertfcated securites in additon to or in place of certfcated securites;</w:t>
      </w:r>
    </w:p>
    <w:p>
      <w:pPr>
        <w:spacing w:after="0" w:line="91" w:lineRule="exact"/>
        <w:rPr>
          <w:rFonts w:ascii="Calibri" w:cs="Calibri" w:eastAsia="Calibri" w:hAnsi="Calibri"/>
          <w:sz w:val="14"/>
          <w:szCs w:val="14"/>
          <w:color w:val="auto"/>
        </w:rPr>
      </w:pPr>
    </w:p>
    <w:p>
      <w:pPr>
        <w:ind w:left="980" w:hanging="341"/>
        <w:spacing w:after="0"/>
        <w:tabs>
          <w:tab w:leader="none" w:pos="980" w:val="left"/>
        </w:tabs>
        <w:numPr>
          <w:ilvl w:val="0"/>
          <w:numId w:val="31"/>
        </w:numPr>
        <w:rPr>
          <w:rFonts w:ascii="Calibri" w:cs="Calibri" w:eastAsia="Calibri" w:hAnsi="Calibri"/>
          <w:sz w:val="14"/>
          <w:szCs w:val="14"/>
          <w:color w:val="auto"/>
        </w:rPr>
      </w:pPr>
      <w:r>
        <w:rPr>
          <w:rFonts w:ascii="Calibri" w:cs="Calibri" w:eastAsia="Calibri" w:hAnsi="Calibri"/>
          <w:sz w:val="14"/>
          <w:szCs w:val="14"/>
          <w:color w:val="auto"/>
        </w:rPr>
        <w:t>to add guarantees with respect to debt securites of any series or secure debt securites of any series;</w:t>
      </w:r>
    </w:p>
    <w:p>
      <w:pPr>
        <w:spacing w:after="0" w:line="91" w:lineRule="exact"/>
        <w:rPr>
          <w:rFonts w:ascii="Calibri" w:cs="Calibri" w:eastAsia="Calibri" w:hAnsi="Calibri"/>
          <w:sz w:val="14"/>
          <w:szCs w:val="14"/>
          <w:color w:val="auto"/>
        </w:rPr>
      </w:pPr>
    </w:p>
    <w:p>
      <w:pPr>
        <w:ind w:left="980" w:hanging="341"/>
        <w:spacing w:after="0"/>
        <w:tabs>
          <w:tab w:leader="none" w:pos="980" w:val="left"/>
        </w:tabs>
        <w:numPr>
          <w:ilvl w:val="0"/>
          <w:numId w:val="31"/>
        </w:numPr>
        <w:rPr>
          <w:rFonts w:ascii="Calibri" w:cs="Calibri" w:eastAsia="Calibri" w:hAnsi="Calibri"/>
          <w:sz w:val="14"/>
          <w:szCs w:val="14"/>
          <w:color w:val="auto"/>
        </w:rPr>
      </w:pPr>
      <w:r>
        <w:rPr>
          <w:rFonts w:ascii="Calibri" w:cs="Calibri" w:eastAsia="Calibri" w:hAnsi="Calibri"/>
          <w:sz w:val="14"/>
          <w:szCs w:val="14"/>
          <w:color w:val="auto"/>
        </w:rPr>
        <w:t>to surrender any of our rights or powers under the indenture;</w:t>
      </w:r>
    </w:p>
    <w:p>
      <w:pPr>
        <w:spacing w:after="0" w:line="91" w:lineRule="exact"/>
        <w:rPr>
          <w:rFonts w:ascii="Calibri" w:cs="Calibri" w:eastAsia="Calibri" w:hAnsi="Calibri"/>
          <w:sz w:val="14"/>
          <w:szCs w:val="14"/>
          <w:color w:val="auto"/>
        </w:rPr>
      </w:pPr>
    </w:p>
    <w:p>
      <w:pPr>
        <w:ind w:left="980" w:hanging="341"/>
        <w:spacing w:after="0"/>
        <w:tabs>
          <w:tab w:leader="none" w:pos="980" w:val="left"/>
        </w:tabs>
        <w:numPr>
          <w:ilvl w:val="0"/>
          <w:numId w:val="31"/>
        </w:numPr>
        <w:rPr>
          <w:rFonts w:ascii="Calibri" w:cs="Calibri" w:eastAsia="Calibri" w:hAnsi="Calibri"/>
          <w:sz w:val="14"/>
          <w:szCs w:val="14"/>
          <w:color w:val="auto"/>
        </w:rPr>
      </w:pPr>
      <w:r>
        <w:rPr>
          <w:rFonts w:ascii="Calibri" w:cs="Calibri" w:eastAsia="Calibri" w:hAnsi="Calibri"/>
          <w:sz w:val="14"/>
          <w:szCs w:val="14"/>
          <w:color w:val="auto"/>
        </w:rPr>
        <w:t>to add covenants or events of default for the beneft of the holders of debt securites of any series;</w:t>
      </w:r>
    </w:p>
    <w:p>
      <w:pPr>
        <w:spacing w:after="0" w:line="91" w:lineRule="exact"/>
        <w:rPr>
          <w:rFonts w:ascii="Calibri" w:cs="Calibri" w:eastAsia="Calibri" w:hAnsi="Calibri"/>
          <w:sz w:val="14"/>
          <w:szCs w:val="14"/>
          <w:color w:val="auto"/>
        </w:rPr>
      </w:pPr>
    </w:p>
    <w:p>
      <w:pPr>
        <w:ind w:left="980" w:hanging="341"/>
        <w:spacing w:after="0"/>
        <w:tabs>
          <w:tab w:leader="none" w:pos="980" w:val="left"/>
        </w:tabs>
        <w:numPr>
          <w:ilvl w:val="0"/>
          <w:numId w:val="31"/>
        </w:numPr>
        <w:rPr>
          <w:rFonts w:ascii="Calibri" w:cs="Calibri" w:eastAsia="Calibri" w:hAnsi="Calibri"/>
          <w:sz w:val="14"/>
          <w:szCs w:val="14"/>
          <w:color w:val="auto"/>
        </w:rPr>
      </w:pPr>
      <w:r>
        <w:rPr>
          <w:rFonts w:ascii="Calibri" w:cs="Calibri" w:eastAsia="Calibri" w:hAnsi="Calibri"/>
          <w:sz w:val="14"/>
          <w:szCs w:val="14"/>
          <w:color w:val="auto"/>
        </w:rPr>
        <w:t>to comply with the applicable procedures of the applicable depositary;</w:t>
      </w:r>
    </w:p>
    <w:p>
      <w:pPr>
        <w:spacing w:after="0" w:line="91" w:lineRule="exact"/>
        <w:rPr>
          <w:rFonts w:ascii="Calibri" w:cs="Calibri" w:eastAsia="Calibri" w:hAnsi="Calibri"/>
          <w:sz w:val="14"/>
          <w:szCs w:val="14"/>
          <w:color w:val="auto"/>
        </w:rPr>
      </w:pPr>
    </w:p>
    <w:p>
      <w:pPr>
        <w:ind w:left="980" w:hanging="341"/>
        <w:spacing w:after="0"/>
        <w:tabs>
          <w:tab w:leader="none" w:pos="980" w:val="left"/>
        </w:tabs>
        <w:numPr>
          <w:ilvl w:val="0"/>
          <w:numId w:val="31"/>
        </w:numPr>
        <w:rPr>
          <w:rFonts w:ascii="Calibri" w:cs="Calibri" w:eastAsia="Calibri" w:hAnsi="Calibri"/>
          <w:sz w:val="14"/>
          <w:szCs w:val="14"/>
          <w:color w:val="auto"/>
        </w:rPr>
      </w:pPr>
      <w:r>
        <w:rPr>
          <w:rFonts w:ascii="Calibri" w:cs="Calibri" w:eastAsia="Calibri" w:hAnsi="Calibri"/>
          <w:sz w:val="14"/>
          <w:szCs w:val="14"/>
          <w:color w:val="auto"/>
        </w:rPr>
        <w:t>to make any change that does not adversely afect the rights of any holder of debt securites;</w:t>
      </w:r>
    </w:p>
    <w:p>
      <w:pPr>
        <w:spacing w:after="0" w:line="95" w:lineRule="exact"/>
        <w:rPr>
          <w:rFonts w:ascii="Calibri" w:cs="Calibri" w:eastAsia="Calibri" w:hAnsi="Calibri"/>
          <w:sz w:val="14"/>
          <w:szCs w:val="14"/>
          <w:color w:val="auto"/>
        </w:rPr>
      </w:pPr>
    </w:p>
    <w:p>
      <w:pPr>
        <w:ind w:left="980" w:hanging="341"/>
        <w:spacing w:after="0"/>
        <w:tabs>
          <w:tab w:leader="none" w:pos="980" w:val="left"/>
        </w:tabs>
        <w:numPr>
          <w:ilvl w:val="0"/>
          <w:numId w:val="31"/>
        </w:numPr>
        <w:rPr>
          <w:rFonts w:ascii="Calibri" w:cs="Calibri" w:eastAsia="Calibri" w:hAnsi="Calibri"/>
          <w:sz w:val="13"/>
          <w:szCs w:val="13"/>
          <w:color w:val="auto"/>
        </w:rPr>
      </w:pPr>
      <w:r>
        <w:rPr>
          <w:rFonts w:ascii="Calibri" w:cs="Calibri" w:eastAsia="Calibri" w:hAnsi="Calibri"/>
          <w:sz w:val="13"/>
          <w:szCs w:val="13"/>
          <w:color w:val="auto"/>
        </w:rPr>
        <w:t>to provide for the issuance of and establish the form and terms and conditons of debt securites of any series as permited by the indenture;</w:t>
      </w:r>
    </w:p>
    <w:p>
      <w:pPr>
        <w:spacing w:after="0" w:line="103" w:lineRule="exact"/>
        <w:rPr>
          <w:rFonts w:ascii="Calibri" w:cs="Calibri" w:eastAsia="Calibri" w:hAnsi="Calibri"/>
          <w:sz w:val="13"/>
          <w:szCs w:val="13"/>
          <w:color w:val="auto"/>
        </w:rPr>
      </w:pPr>
    </w:p>
    <w:p>
      <w:pPr>
        <w:ind w:left="980" w:right="779" w:hanging="341"/>
        <w:spacing w:after="0" w:line="235" w:lineRule="auto"/>
        <w:tabs>
          <w:tab w:leader="none" w:pos="980" w:val="left"/>
        </w:tabs>
        <w:numPr>
          <w:ilvl w:val="0"/>
          <w:numId w:val="31"/>
        </w:numPr>
        <w:rPr>
          <w:rFonts w:ascii="Calibri" w:cs="Calibri" w:eastAsia="Calibri" w:hAnsi="Calibri"/>
          <w:sz w:val="14"/>
          <w:szCs w:val="14"/>
          <w:color w:val="auto"/>
        </w:rPr>
      </w:pPr>
      <w:r>
        <w:rPr>
          <w:rFonts w:ascii="Calibri" w:cs="Calibri" w:eastAsia="Calibri" w:hAnsi="Calibri"/>
          <w:sz w:val="14"/>
          <w:szCs w:val="14"/>
          <w:color w:val="auto"/>
        </w:rPr>
        <w:t>to efect the appointment of a successor trustee with respect to the debt securites of any series and to add to or change any of the provisions of the indenture to provide for or facilitate administraton by more than one trustee; or</w:t>
      </w:r>
    </w:p>
    <w:p>
      <w:pPr>
        <w:spacing w:after="0" w:line="92" w:lineRule="exact"/>
        <w:rPr>
          <w:rFonts w:ascii="Calibri" w:cs="Calibri" w:eastAsia="Calibri" w:hAnsi="Calibri"/>
          <w:sz w:val="14"/>
          <w:szCs w:val="14"/>
          <w:color w:val="auto"/>
        </w:rPr>
      </w:pPr>
    </w:p>
    <w:p>
      <w:pPr>
        <w:ind w:left="980" w:hanging="341"/>
        <w:spacing w:after="0"/>
        <w:tabs>
          <w:tab w:leader="none" w:pos="980" w:val="left"/>
        </w:tabs>
        <w:numPr>
          <w:ilvl w:val="0"/>
          <w:numId w:val="31"/>
        </w:numPr>
        <w:rPr>
          <w:rFonts w:ascii="Calibri" w:cs="Calibri" w:eastAsia="Calibri" w:hAnsi="Calibri"/>
          <w:sz w:val="14"/>
          <w:szCs w:val="14"/>
          <w:color w:val="auto"/>
        </w:rPr>
      </w:pPr>
      <w:r>
        <w:rPr>
          <w:rFonts w:ascii="Calibri" w:cs="Calibri" w:eastAsia="Calibri" w:hAnsi="Calibri"/>
          <w:sz w:val="14"/>
          <w:szCs w:val="14"/>
          <w:color w:val="auto"/>
        </w:rPr>
        <w:t>to comply with requirements of the SEC in order to efect or maintain the qualifcaton of the indenture under the Trust Indenture Act.</w:t>
      </w:r>
    </w:p>
    <w:p>
      <w:pPr>
        <w:spacing w:after="0" w:line="169" w:lineRule="exact"/>
        <w:rPr>
          <w:sz w:val="20"/>
          <w:szCs w:val="20"/>
          <w:color w:val="auto"/>
        </w:rPr>
      </w:pPr>
    </w:p>
    <w:p>
      <w:pPr>
        <w:jc w:val="both"/>
        <w:ind w:left="220" w:right="499" w:firstLine="343"/>
        <w:spacing w:after="0" w:line="235" w:lineRule="auto"/>
        <w:rPr>
          <w:sz w:val="20"/>
          <w:szCs w:val="20"/>
          <w:color w:val="auto"/>
        </w:rPr>
      </w:pPr>
      <w:r>
        <w:rPr>
          <w:rFonts w:ascii="Calibri" w:cs="Calibri" w:eastAsia="Calibri" w:hAnsi="Calibri"/>
          <w:sz w:val="14"/>
          <w:szCs w:val="14"/>
          <w:color w:val="auto"/>
        </w:rPr>
        <w:t>We may also modify and amend the indenture with the consent of the holders of at least a majority in principal amount of the outstanding debt securites of each series afected by the modifcatons or amendments. We may not make any modifcaton or amendment without the consent of the holders of each afected debt security then outstanding if that amendment will:</w:t>
      </w:r>
    </w:p>
    <w:p>
      <w:pPr>
        <w:spacing w:after="0" w:line="93" w:lineRule="exact"/>
        <w:rPr>
          <w:sz w:val="20"/>
          <w:szCs w:val="20"/>
          <w:color w:val="auto"/>
        </w:rPr>
      </w:pPr>
    </w:p>
    <w:p>
      <w:pPr>
        <w:ind w:left="980" w:hanging="341"/>
        <w:spacing w:after="0"/>
        <w:tabs>
          <w:tab w:leader="none" w:pos="980" w:val="left"/>
        </w:tabs>
        <w:numPr>
          <w:ilvl w:val="0"/>
          <w:numId w:val="32"/>
        </w:numPr>
        <w:rPr>
          <w:rFonts w:ascii="Calibri" w:cs="Calibri" w:eastAsia="Calibri" w:hAnsi="Calibri"/>
          <w:sz w:val="14"/>
          <w:szCs w:val="14"/>
          <w:color w:val="auto"/>
        </w:rPr>
      </w:pPr>
      <w:r>
        <w:rPr>
          <w:rFonts w:ascii="Calibri" w:cs="Calibri" w:eastAsia="Calibri" w:hAnsi="Calibri"/>
          <w:sz w:val="14"/>
          <w:szCs w:val="14"/>
          <w:color w:val="auto"/>
        </w:rPr>
        <w:t>reduce the amount of debt securites whose holders must consent to an amendment, supplement or waiver;</w:t>
      </w:r>
    </w:p>
    <w:p>
      <w:pPr>
        <w:spacing w:after="0" w:line="91" w:lineRule="exact"/>
        <w:rPr>
          <w:rFonts w:ascii="Calibri" w:cs="Calibri" w:eastAsia="Calibri" w:hAnsi="Calibri"/>
          <w:sz w:val="14"/>
          <w:szCs w:val="14"/>
          <w:color w:val="auto"/>
        </w:rPr>
      </w:pPr>
    </w:p>
    <w:p>
      <w:pPr>
        <w:ind w:left="980" w:hanging="341"/>
        <w:spacing w:after="0"/>
        <w:tabs>
          <w:tab w:leader="none" w:pos="980" w:val="left"/>
        </w:tabs>
        <w:numPr>
          <w:ilvl w:val="0"/>
          <w:numId w:val="32"/>
        </w:numPr>
        <w:rPr>
          <w:rFonts w:ascii="Calibri" w:cs="Calibri" w:eastAsia="Calibri" w:hAnsi="Calibri"/>
          <w:sz w:val="14"/>
          <w:szCs w:val="14"/>
          <w:color w:val="auto"/>
        </w:rPr>
      </w:pPr>
      <w:r>
        <w:rPr>
          <w:rFonts w:ascii="Calibri" w:cs="Calibri" w:eastAsia="Calibri" w:hAnsi="Calibri"/>
          <w:sz w:val="14"/>
          <w:szCs w:val="14"/>
          <w:color w:val="auto"/>
        </w:rPr>
        <w:t>reduce the rate of or extend the tme for payment of interest (including default interest) on any debt security;</w:t>
      </w:r>
    </w:p>
    <w:p>
      <w:pPr>
        <w:spacing w:after="0" w:line="95" w:lineRule="exact"/>
        <w:rPr>
          <w:rFonts w:ascii="Calibri" w:cs="Calibri" w:eastAsia="Calibri" w:hAnsi="Calibri"/>
          <w:sz w:val="14"/>
          <w:szCs w:val="14"/>
          <w:color w:val="auto"/>
        </w:rPr>
      </w:pPr>
    </w:p>
    <w:p>
      <w:pPr>
        <w:ind w:left="980" w:right="279" w:hanging="341"/>
        <w:spacing w:after="0" w:line="235" w:lineRule="auto"/>
        <w:tabs>
          <w:tab w:leader="none" w:pos="980" w:val="left"/>
        </w:tabs>
        <w:numPr>
          <w:ilvl w:val="0"/>
          <w:numId w:val="32"/>
        </w:numPr>
        <w:rPr>
          <w:rFonts w:ascii="Calibri" w:cs="Calibri" w:eastAsia="Calibri" w:hAnsi="Calibri"/>
          <w:sz w:val="14"/>
          <w:szCs w:val="14"/>
          <w:color w:val="auto"/>
        </w:rPr>
      </w:pPr>
      <w:r>
        <w:rPr>
          <w:rFonts w:ascii="Calibri" w:cs="Calibri" w:eastAsia="Calibri" w:hAnsi="Calibri"/>
          <w:sz w:val="14"/>
          <w:szCs w:val="14"/>
          <w:color w:val="auto"/>
        </w:rPr>
        <w:t>reduce the principal of or premium on or change the fxed maturity of any debt security or reduce the amount of, or postpone the date fxed for, the payment of any sinking fund or analogous obligaton with respect to any series of debt securites;</w:t>
      </w:r>
    </w:p>
    <w:p>
      <w:pPr>
        <w:spacing w:after="0" w:line="92" w:lineRule="exact"/>
        <w:rPr>
          <w:rFonts w:ascii="Calibri" w:cs="Calibri" w:eastAsia="Calibri" w:hAnsi="Calibri"/>
          <w:sz w:val="14"/>
          <w:szCs w:val="14"/>
          <w:color w:val="auto"/>
        </w:rPr>
      </w:pPr>
    </w:p>
    <w:p>
      <w:pPr>
        <w:ind w:left="980" w:hanging="341"/>
        <w:spacing w:after="0"/>
        <w:tabs>
          <w:tab w:leader="none" w:pos="980" w:val="left"/>
        </w:tabs>
        <w:numPr>
          <w:ilvl w:val="0"/>
          <w:numId w:val="32"/>
        </w:numPr>
        <w:rPr>
          <w:rFonts w:ascii="Calibri" w:cs="Calibri" w:eastAsia="Calibri" w:hAnsi="Calibri"/>
          <w:sz w:val="14"/>
          <w:szCs w:val="14"/>
          <w:color w:val="auto"/>
        </w:rPr>
      </w:pPr>
      <w:r>
        <w:rPr>
          <w:rFonts w:ascii="Calibri" w:cs="Calibri" w:eastAsia="Calibri" w:hAnsi="Calibri"/>
          <w:sz w:val="14"/>
          <w:szCs w:val="14"/>
          <w:color w:val="auto"/>
        </w:rPr>
        <w:t>reduce the principal amount of discount securites payable upon acceleraton of maturity;</w:t>
      </w:r>
    </w:p>
    <w:p>
      <w:pPr>
        <w:spacing w:after="0" w:line="95" w:lineRule="exact"/>
        <w:rPr>
          <w:rFonts w:ascii="Calibri" w:cs="Calibri" w:eastAsia="Calibri" w:hAnsi="Calibri"/>
          <w:sz w:val="14"/>
          <w:szCs w:val="14"/>
          <w:color w:val="auto"/>
        </w:rPr>
      </w:pPr>
    </w:p>
    <w:p>
      <w:pPr>
        <w:ind w:left="980" w:right="379" w:hanging="341"/>
        <w:spacing w:after="0" w:line="235" w:lineRule="auto"/>
        <w:tabs>
          <w:tab w:leader="none" w:pos="980" w:val="left"/>
        </w:tabs>
        <w:numPr>
          <w:ilvl w:val="0"/>
          <w:numId w:val="32"/>
        </w:numPr>
        <w:rPr>
          <w:rFonts w:ascii="Calibri" w:cs="Calibri" w:eastAsia="Calibri" w:hAnsi="Calibri"/>
          <w:sz w:val="14"/>
          <w:szCs w:val="14"/>
          <w:color w:val="auto"/>
        </w:rPr>
      </w:pPr>
      <w:r>
        <w:rPr>
          <w:rFonts w:ascii="Calibri" w:cs="Calibri" w:eastAsia="Calibri" w:hAnsi="Calibri"/>
          <w:sz w:val="14"/>
          <w:szCs w:val="14"/>
          <w:color w:val="auto"/>
        </w:rPr>
        <w:t>waive a default in the payment of the principal of, premium or interest on any debt security (except a rescission of acceleraton of the debt securites of any series by the holders of at least a majority in aggregate principal amount of the then outstanding debt securites of that series and a waiver of the payment default that resulted from such acceleraton);</w:t>
      </w:r>
    </w:p>
    <w:p>
      <w:pPr>
        <w:spacing w:after="0" w:line="92" w:lineRule="exact"/>
        <w:rPr>
          <w:rFonts w:ascii="Calibri" w:cs="Calibri" w:eastAsia="Calibri" w:hAnsi="Calibri"/>
          <w:sz w:val="14"/>
          <w:szCs w:val="14"/>
          <w:color w:val="auto"/>
        </w:rPr>
      </w:pPr>
    </w:p>
    <w:p>
      <w:pPr>
        <w:ind w:left="980" w:hanging="341"/>
        <w:spacing w:after="0"/>
        <w:tabs>
          <w:tab w:leader="none" w:pos="980" w:val="left"/>
        </w:tabs>
        <w:numPr>
          <w:ilvl w:val="0"/>
          <w:numId w:val="32"/>
        </w:numPr>
        <w:rPr>
          <w:rFonts w:ascii="Calibri" w:cs="Calibri" w:eastAsia="Calibri" w:hAnsi="Calibri"/>
          <w:sz w:val="14"/>
          <w:szCs w:val="14"/>
          <w:color w:val="auto"/>
        </w:rPr>
      </w:pPr>
      <w:r>
        <w:rPr>
          <w:rFonts w:ascii="Calibri" w:cs="Calibri" w:eastAsia="Calibri" w:hAnsi="Calibri"/>
          <w:sz w:val="14"/>
          <w:szCs w:val="14"/>
          <w:color w:val="auto"/>
        </w:rPr>
        <w:t>make the principal of or premium or interest on any debt security payable in currency other than that stated in the debt security;</w:t>
      </w:r>
    </w:p>
    <w:p>
      <w:pPr>
        <w:spacing w:after="0" w:line="95" w:lineRule="exact"/>
        <w:rPr>
          <w:rFonts w:ascii="Calibri" w:cs="Calibri" w:eastAsia="Calibri" w:hAnsi="Calibri"/>
          <w:sz w:val="14"/>
          <w:szCs w:val="14"/>
          <w:color w:val="auto"/>
        </w:rPr>
      </w:pPr>
    </w:p>
    <w:p>
      <w:pPr>
        <w:ind w:left="980" w:right="239" w:hanging="341"/>
        <w:spacing w:after="0" w:line="235" w:lineRule="auto"/>
        <w:tabs>
          <w:tab w:leader="none" w:pos="980" w:val="left"/>
        </w:tabs>
        <w:numPr>
          <w:ilvl w:val="0"/>
          <w:numId w:val="32"/>
        </w:numPr>
        <w:rPr>
          <w:rFonts w:ascii="Calibri" w:cs="Calibri" w:eastAsia="Calibri" w:hAnsi="Calibri"/>
          <w:sz w:val="14"/>
          <w:szCs w:val="14"/>
          <w:color w:val="auto"/>
        </w:rPr>
      </w:pPr>
      <w:r>
        <w:rPr>
          <w:rFonts w:ascii="Calibri" w:cs="Calibri" w:eastAsia="Calibri" w:hAnsi="Calibri"/>
          <w:sz w:val="14"/>
          <w:szCs w:val="14"/>
          <w:color w:val="auto"/>
        </w:rPr>
        <w:t>make any change to certain provisions of the indenture relatng to, among other things, the right of holders of debt securites to receive payment of the principal of, premium and interest on those debt securites and to insttute suit for the enforcement of any such payment and to waivers or amendments; or</w:t>
      </w:r>
    </w:p>
    <w:p>
      <w:pPr>
        <w:spacing w:after="0" w:line="92" w:lineRule="exact"/>
        <w:rPr>
          <w:rFonts w:ascii="Calibri" w:cs="Calibri" w:eastAsia="Calibri" w:hAnsi="Calibri"/>
          <w:sz w:val="14"/>
          <w:szCs w:val="14"/>
          <w:color w:val="auto"/>
        </w:rPr>
      </w:pPr>
    </w:p>
    <w:p>
      <w:pPr>
        <w:ind w:left="980" w:hanging="341"/>
        <w:spacing w:after="0"/>
        <w:tabs>
          <w:tab w:leader="none" w:pos="980" w:val="left"/>
        </w:tabs>
        <w:numPr>
          <w:ilvl w:val="0"/>
          <w:numId w:val="32"/>
        </w:numPr>
        <w:rPr>
          <w:rFonts w:ascii="Calibri" w:cs="Calibri" w:eastAsia="Calibri" w:hAnsi="Calibri"/>
          <w:sz w:val="14"/>
          <w:szCs w:val="14"/>
          <w:color w:val="auto"/>
        </w:rPr>
      </w:pPr>
      <w:r>
        <w:rPr>
          <w:rFonts w:ascii="Calibri" w:cs="Calibri" w:eastAsia="Calibri" w:hAnsi="Calibri"/>
          <w:sz w:val="14"/>
          <w:szCs w:val="14"/>
          <w:color w:val="auto"/>
        </w:rPr>
        <w:t>waive a redempton payment with respect to any debt security.</w:t>
      </w:r>
    </w:p>
    <w:p>
      <w:pPr>
        <w:spacing w:after="0" w:line="169" w:lineRule="exact"/>
        <w:rPr>
          <w:sz w:val="20"/>
          <w:szCs w:val="20"/>
          <w:color w:val="auto"/>
        </w:rPr>
      </w:pPr>
    </w:p>
    <w:p>
      <w:pPr>
        <w:ind w:left="220" w:right="319" w:firstLine="343"/>
        <w:spacing w:after="0" w:line="235" w:lineRule="auto"/>
        <w:rPr>
          <w:sz w:val="20"/>
          <w:szCs w:val="20"/>
          <w:color w:val="auto"/>
        </w:rPr>
      </w:pPr>
      <w:r>
        <w:rPr>
          <w:rFonts w:ascii="Calibri" w:cs="Calibri" w:eastAsia="Calibri" w:hAnsi="Calibri"/>
          <w:sz w:val="14"/>
          <w:szCs w:val="14"/>
          <w:color w:val="auto"/>
        </w:rPr>
        <w:t>Except for certain specifed provisions, the holders of at least a majority in principal amount of the outstanding debt securites of any series may on behalf of the holders of all debt securites of that series waive our compliance with provisions of the indenture. The holders of a majority in principal amount of the outstanding debt securites of any series may on behalf of the holders of all the debt securites of such series waive any past default under the indenture with respect to that series and its consequences, except a default in the payment of the principal of, premium or any interest on any debt security of that series; provided, however,</w:t>
      </w:r>
    </w:p>
    <w:p>
      <w:pPr>
        <w:spacing w:after="0" w:line="115" w:lineRule="exact"/>
        <w:rPr>
          <w:sz w:val="20"/>
          <w:szCs w:val="20"/>
          <w:color w:val="auto"/>
        </w:rPr>
      </w:pPr>
    </w:p>
    <w:p>
      <w:pPr>
        <w:jc w:val="center"/>
        <w:ind w:right="19"/>
        <w:spacing w:after="0"/>
        <w:rPr>
          <w:sz w:val="20"/>
          <w:szCs w:val="20"/>
          <w:color w:val="auto"/>
        </w:rPr>
      </w:pPr>
      <w:r>
        <w:rPr>
          <w:rFonts w:ascii="Calibri" w:cs="Calibri" w:eastAsia="Calibri" w:hAnsi="Calibri"/>
          <w:sz w:val="14"/>
          <w:szCs w:val="14"/>
          <w:color w:val="auto"/>
        </w:rPr>
        <w:t>-14-</w:t>
      </w:r>
    </w:p>
    <w:p>
      <w:pPr>
        <w:sectPr>
          <w:pgSz w:w="11900" w:h="16838" w:orient="portrait"/>
          <w:cols w:equalWidth="0" w:num="1">
            <w:col w:w="9019"/>
          </w:cols>
          <w:pgMar w:left="1440" w:top="234" w:right="1440" w:bottom="1440" w:gutter="0" w:footer="0" w:header="0"/>
        </w:sectPr>
      </w:pPr>
    </w:p>
    <w:bookmarkStart w:id="57" w:name="page58"/>
    <w:bookmarkEnd w:id="57"/>
    <w:p>
      <w:pPr>
        <w:ind w:left="220" w:right="619"/>
        <w:spacing w:after="0" w:line="235" w:lineRule="auto"/>
        <w:rPr>
          <w:sz w:val="20"/>
          <w:szCs w:val="20"/>
          <w:color w:val="auto"/>
        </w:rPr>
      </w:pPr>
      <w:r>
        <w:rPr>
          <w:rFonts w:ascii="Calibri" w:cs="Calibri" w:eastAsia="Calibri" w:hAnsi="Calibri"/>
          <w:sz w:val="14"/>
          <w:szCs w:val="14"/>
          <w:color w:val="auto"/>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85">
                      <a:extLst>
                        <a:ext uri="{28A0092B-C50C-407E-A947-70E740481C1C}"/>
                      </a:extLst>
                    </a:blip>
                    <a:srcRect/>
                    <a:stretch>
                      <a:fillRect/>
                    </a:stretch>
                  </pic:blipFill>
                  <pic:spPr bwMode="auto">
                    <a:xfrm>
                      <a:off x="0" y="0"/>
                      <a:ext cx="7201535" cy="32385"/>
                    </a:xfrm>
                    <a:prstGeom prst="rect">
                      <a:avLst/>
                    </a:prstGeom>
                    <a:noFill/>
                  </pic:spPr>
                </pic:pic>
              </a:graphicData>
            </a:graphic>
          </wp:anchor>
        </w:drawing>
        <w:t>that the holders of a majority in principal amount of the outstanding debt securites of any series may rescind an acceleraton and its consequences, including any related payment default that resulted from the acceleraton.</w:t>
      </w:r>
    </w:p>
    <w:p>
      <w:pPr>
        <w:spacing w:after="0" w:line="250" w:lineRule="exact"/>
        <w:rPr>
          <w:sz w:val="20"/>
          <w:szCs w:val="20"/>
          <w:color w:val="auto"/>
        </w:rPr>
      </w:pPr>
    </w:p>
    <w:p>
      <w:pPr>
        <w:ind w:left="220"/>
        <w:spacing w:after="0"/>
        <w:rPr>
          <w:sz w:val="20"/>
          <w:szCs w:val="20"/>
          <w:color w:val="auto"/>
        </w:rPr>
      </w:pPr>
      <w:r>
        <w:rPr>
          <w:rFonts w:ascii="Calibri" w:cs="Calibri" w:eastAsia="Calibri" w:hAnsi="Calibri"/>
          <w:sz w:val="14"/>
          <w:szCs w:val="14"/>
          <w:b w:val="1"/>
          <w:bCs w:val="1"/>
          <w:color w:val="auto"/>
        </w:rPr>
        <w:t>Defeasance of Debt Securites and Certain Covenants in Certain Circumstances</w:t>
      </w:r>
    </w:p>
    <w:p>
      <w:pPr>
        <w:spacing w:after="0" w:line="81" w:lineRule="exact"/>
        <w:rPr>
          <w:sz w:val="20"/>
          <w:szCs w:val="20"/>
          <w:color w:val="auto"/>
        </w:rPr>
      </w:pPr>
    </w:p>
    <w:p>
      <w:pPr>
        <w:ind w:left="220"/>
        <w:spacing w:after="0"/>
        <w:rPr>
          <w:sz w:val="20"/>
          <w:szCs w:val="20"/>
          <w:color w:val="auto"/>
        </w:rPr>
      </w:pPr>
      <w:r>
        <w:rPr>
          <w:rFonts w:ascii="Calibri" w:cs="Calibri" w:eastAsia="Calibri" w:hAnsi="Calibri"/>
          <w:sz w:val="14"/>
          <w:szCs w:val="14"/>
          <w:b w:val="1"/>
          <w:bCs w:val="1"/>
          <w:i w:val="1"/>
          <w:iCs w:val="1"/>
          <w:color w:val="auto"/>
        </w:rPr>
        <w:t>Legal Defeasance</w:t>
      </w:r>
    </w:p>
    <w:p>
      <w:pPr>
        <w:spacing w:after="0" w:line="85" w:lineRule="exact"/>
        <w:rPr>
          <w:sz w:val="20"/>
          <w:szCs w:val="20"/>
          <w:color w:val="auto"/>
        </w:rPr>
      </w:pPr>
    </w:p>
    <w:p>
      <w:pPr>
        <w:ind w:left="220" w:right="259" w:firstLine="343"/>
        <w:spacing w:after="0" w:line="235" w:lineRule="auto"/>
        <w:rPr>
          <w:sz w:val="20"/>
          <w:szCs w:val="20"/>
          <w:color w:val="auto"/>
        </w:rPr>
      </w:pPr>
      <w:r>
        <w:rPr>
          <w:rFonts w:ascii="Calibri" w:cs="Calibri" w:eastAsia="Calibri" w:hAnsi="Calibri"/>
          <w:sz w:val="14"/>
          <w:szCs w:val="14"/>
          <w:color w:val="auto"/>
        </w:rPr>
        <w:t>The indenture will provide that, unless otherwise provided by the terms of the applicable series of debt securites, we may be discharged from any and all obligatons in respect of the debt securites of any series (subject to certain exceptons). We will be so discharged upon the irrevocable deposit with the trustee, in trust, of money and/or U.S. government obligatons or, in the case of debt securites denominated in a single currency other than U.S. dollars, government obligatons of the government that issued or caused to be issued such currency, that, through the payment of interest and principal in accordance with their terms, will provide money or U.S. government obligatons in an amount sufcient in the opinion of a natonally recognized frm of independent public accountants or investment bank to pay and discharge each installment of principal, premium and interest on and any mandatory sinking fund payments in respect of the debt securites of that series on the stated maturity of those payments in accordance with the terms of the indenture and those debt securites.</w:t>
      </w:r>
    </w:p>
    <w:p>
      <w:pPr>
        <w:spacing w:after="0" w:line="174" w:lineRule="exact"/>
        <w:rPr>
          <w:sz w:val="20"/>
          <w:szCs w:val="20"/>
          <w:color w:val="auto"/>
        </w:rPr>
      </w:pPr>
    </w:p>
    <w:p>
      <w:pPr>
        <w:ind w:left="220" w:right="239" w:firstLine="343"/>
        <w:spacing w:after="0" w:line="235" w:lineRule="auto"/>
        <w:rPr>
          <w:sz w:val="20"/>
          <w:szCs w:val="20"/>
          <w:color w:val="auto"/>
        </w:rPr>
      </w:pPr>
      <w:r>
        <w:rPr>
          <w:rFonts w:ascii="Calibri" w:cs="Calibri" w:eastAsia="Calibri" w:hAnsi="Calibri"/>
          <w:sz w:val="14"/>
          <w:szCs w:val="14"/>
          <w:color w:val="auto"/>
        </w:rPr>
        <w:t>This discharge may occur only if, among other things, we have delivered to the trustee an opinion of counsel statng that we have received from, or there has been published by, the United States Internal Revenue Service a ruling or, since the date of executon of the indenture, there has been a change in the applicable United States federal income tax law, in either case to the efect that, and based thereon such opinion shall confrm that, the holders of the debt securites of that series will not recognize income, gain or loss for United States federal income tax purposes as a result of the deposit, defeasance and discharge and will be subject to United States federal income tax on the same amounts and in the same manner and at the same tmes as would have been the case if the deposit, defeasance and discharge had not occurred.</w:t>
      </w:r>
    </w:p>
    <w:p>
      <w:pPr>
        <w:spacing w:after="0" w:line="252" w:lineRule="exact"/>
        <w:rPr>
          <w:sz w:val="20"/>
          <w:szCs w:val="20"/>
          <w:color w:val="auto"/>
        </w:rPr>
      </w:pPr>
    </w:p>
    <w:p>
      <w:pPr>
        <w:ind w:left="220"/>
        <w:spacing w:after="0"/>
        <w:rPr>
          <w:sz w:val="20"/>
          <w:szCs w:val="20"/>
          <w:color w:val="auto"/>
        </w:rPr>
      </w:pPr>
      <w:r>
        <w:rPr>
          <w:rFonts w:ascii="Calibri" w:cs="Calibri" w:eastAsia="Calibri" w:hAnsi="Calibri"/>
          <w:sz w:val="14"/>
          <w:szCs w:val="14"/>
          <w:b w:val="1"/>
          <w:bCs w:val="1"/>
          <w:i w:val="1"/>
          <w:iCs w:val="1"/>
          <w:color w:val="auto"/>
        </w:rPr>
        <w:t>Defeasance of Certain Covenants</w:t>
      </w:r>
    </w:p>
    <w:p>
      <w:pPr>
        <w:spacing w:after="0" w:line="85" w:lineRule="exact"/>
        <w:rPr>
          <w:sz w:val="20"/>
          <w:szCs w:val="20"/>
          <w:color w:val="auto"/>
        </w:rPr>
      </w:pPr>
    </w:p>
    <w:p>
      <w:pPr>
        <w:ind w:left="220" w:right="479" w:firstLine="343"/>
        <w:spacing w:after="0" w:line="235" w:lineRule="auto"/>
        <w:rPr>
          <w:sz w:val="20"/>
          <w:szCs w:val="20"/>
          <w:color w:val="auto"/>
        </w:rPr>
      </w:pPr>
      <w:r>
        <w:rPr>
          <w:rFonts w:ascii="Calibri" w:cs="Calibri" w:eastAsia="Calibri" w:hAnsi="Calibri"/>
          <w:sz w:val="14"/>
          <w:szCs w:val="14"/>
          <w:color w:val="auto"/>
        </w:rPr>
        <w:t>The indenture will provide that, unless otherwise provided by the terms of the applicable series of debt securites, upon compliance with certain conditons:</w:t>
      </w:r>
    </w:p>
    <w:p>
      <w:pPr>
        <w:spacing w:after="0" w:line="96" w:lineRule="exact"/>
        <w:rPr>
          <w:sz w:val="20"/>
          <w:szCs w:val="20"/>
          <w:color w:val="auto"/>
        </w:rPr>
      </w:pPr>
    </w:p>
    <w:p>
      <w:pPr>
        <w:ind w:left="980" w:right="439" w:hanging="341"/>
        <w:spacing w:after="0" w:line="235" w:lineRule="auto"/>
        <w:tabs>
          <w:tab w:leader="none" w:pos="980" w:val="left"/>
        </w:tabs>
        <w:numPr>
          <w:ilvl w:val="0"/>
          <w:numId w:val="33"/>
        </w:numPr>
        <w:rPr>
          <w:rFonts w:ascii="Calibri" w:cs="Calibri" w:eastAsia="Calibri" w:hAnsi="Calibri"/>
          <w:sz w:val="14"/>
          <w:szCs w:val="14"/>
          <w:color w:val="auto"/>
        </w:rPr>
      </w:pPr>
      <w:r>
        <w:rPr>
          <w:rFonts w:ascii="Calibri" w:cs="Calibri" w:eastAsia="Calibri" w:hAnsi="Calibri"/>
          <w:sz w:val="14"/>
          <w:szCs w:val="14"/>
          <w:color w:val="auto"/>
        </w:rPr>
        <w:t>we may omit to comply with the covenant described under the heading “Consolidaton, Merger and Sale of Assets” and certain other covenants set forth in the indenture, as well as any additonal covenants which may be set forth in the applicable prospectus supplement; and</w:t>
      </w:r>
    </w:p>
    <w:p>
      <w:pPr>
        <w:spacing w:after="0" w:line="96" w:lineRule="exact"/>
        <w:rPr>
          <w:rFonts w:ascii="Calibri" w:cs="Calibri" w:eastAsia="Calibri" w:hAnsi="Calibri"/>
          <w:sz w:val="14"/>
          <w:szCs w:val="14"/>
          <w:color w:val="auto"/>
        </w:rPr>
      </w:pPr>
    </w:p>
    <w:p>
      <w:pPr>
        <w:ind w:left="980" w:right="399" w:hanging="341"/>
        <w:spacing w:after="0" w:line="235" w:lineRule="auto"/>
        <w:tabs>
          <w:tab w:leader="none" w:pos="980" w:val="left"/>
        </w:tabs>
        <w:numPr>
          <w:ilvl w:val="0"/>
          <w:numId w:val="33"/>
        </w:numPr>
        <w:rPr>
          <w:rFonts w:ascii="Calibri" w:cs="Calibri" w:eastAsia="Calibri" w:hAnsi="Calibri"/>
          <w:sz w:val="14"/>
          <w:szCs w:val="14"/>
          <w:color w:val="auto"/>
        </w:rPr>
      </w:pPr>
      <w:r>
        <w:rPr>
          <w:rFonts w:ascii="Calibri" w:cs="Calibri" w:eastAsia="Calibri" w:hAnsi="Calibri"/>
          <w:sz w:val="14"/>
          <w:szCs w:val="14"/>
          <w:color w:val="auto"/>
        </w:rPr>
        <w:t>any omission to comply with those covenants will not consttute a Default or an Event of Default with respect to the debt securites of that series.</w:t>
      </w:r>
    </w:p>
    <w:p>
      <w:pPr>
        <w:spacing w:after="0" w:line="166" w:lineRule="exact"/>
        <w:rPr>
          <w:sz w:val="20"/>
          <w:szCs w:val="20"/>
          <w:color w:val="auto"/>
        </w:rPr>
      </w:pPr>
    </w:p>
    <w:p>
      <w:pPr>
        <w:ind w:left="560"/>
        <w:spacing w:after="0"/>
        <w:rPr>
          <w:sz w:val="20"/>
          <w:szCs w:val="20"/>
          <w:color w:val="auto"/>
        </w:rPr>
      </w:pPr>
      <w:r>
        <w:rPr>
          <w:rFonts w:ascii="Calibri" w:cs="Calibri" w:eastAsia="Calibri" w:hAnsi="Calibri"/>
          <w:sz w:val="14"/>
          <w:szCs w:val="14"/>
          <w:color w:val="auto"/>
        </w:rPr>
        <w:t>We refer to this as covenant defeasance. The conditons include:</w:t>
      </w:r>
    </w:p>
    <w:p>
      <w:pPr>
        <w:spacing w:after="0" w:line="96" w:lineRule="exact"/>
        <w:rPr>
          <w:sz w:val="20"/>
          <w:szCs w:val="20"/>
          <w:color w:val="auto"/>
        </w:rPr>
      </w:pPr>
    </w:p>
    <w:p>
      <w:pPr>
        <w:ind w:left="980" w:right="399" w:hanging="341"/>
        <w:spacing w:after="0" w:line="235" w:lineRule="auto"/>
        <w:tabs>
          <w:tab w:leader="none" w:pos="980" w:val="left"/>
        </w:tabs>
        <w:numPr>
          <w:ilvl w:val="0"/>
          <w:numId w:val="34"/>
        </w:numPr>
        <w:rPr>
          <w:rFonts w:ascii="Calibri" w:cs="Calibri" w:eastAsia="Calibri" w:hAnsi="Calibri"/>
          <w:sz w:val="14"/>
          <w:szCs w:val="14"/>
          <w:color w:val="auto"/>
        </w:rPr>
      </w:pPr>
      <w:r>
        <w:rPr>
          <w:rFonts w:ascii="Calibri" w:cs="Calibri" w:eastAsia="Calibri" w:hAnsi="Calibri"/>
          <w:sz w:val="14"/>
          <w:szCs w:val="14"/>
          <w:color w:val="auto"/>
        </w:rPr>
        <w:t>depositng with the trustee money and/or U.S. government obligatons or, in the case of debt securites denominated in a single currency other than U.S. dollars, government obligatons of the government that issued or caused to be issued such currency, that, through the payment of interest and principal in accordance with their terms, will provide money in an amount sufcient in the opinion of a natonally recognized frm of independent public accountants or investment bank to pay and discharge each installment of principal of, premium and interest on and any mandatory sinking fund payments in respect of the debt securites of that series on the stated maturity of those payments in accordance with the terms of the indenture and those debt securites;</w:t>
      </w:r>
    </w:p>
    <w:p>
      <w:pPr>
        <w:spacing w:after="0" w:line="98" w:lineRule="exact"/>
        <w:rPr>
          <w:rFonts w:ascii="Calibri" w:cs="Calibri" w:eastAsia="Calibri" w:hAnsi="Calibri"/>
          <w:sz w:val="14"/>
          <w:szCs w:val="14"/>
          <w:color w:val="auto"/>
        </w:rPr>
      </w:pPr>
    </w:p>
    <w:p>
      <w:pPr>
        <w:ind w:left="980" w:right="319" w:hanging="341"/>
        <w:spacing w:after="0" w:line="235" w:lineRule="auto"/>
        <w:tabs>
          <w:tab w:leader="none" w:pos="980" w:val="left"/>
        </w:tabs>
        <w:numPr>
          <w:ilvl w:val="0"/>
          <w:numId w:val="34"/>
        </w:numPr>
        <w:rPr>
          <w:rFonts w:ascii="Calibri" w:cs="Calibri" w:eastAsia="Calibri" w:hAnsi="Calibri"/>
          <w:sz w:val="14"/>
          <w:szCs w:val="14"/>
          <w:color w:val="auto"/>
        </w:rPr>
      </w:pPr>
      <w:r>
        <w:rPr>
          <w:rFonts w:ascii="Calibri" w:cs="Calibri" w:eastAsia="Calibri" w:hAnsi="Calibri"/>
          <w:sz w:val="14"/>
          <w:szCs w:val="14"/>
          <w:color w:val="auto"/>
        </w:rPr>
        <w:t>such deposit will not result in a breach or violaton of, or consttute a default under the indenture or any other agreement to which we are a party;</w:t>
      </w:r>
    </w:p>
    <w:p>
      <w:pPr>
        <w:spacing w:after="0" w:line="113" w:lineRule="exact"/>
        <w:rPr>
          <w:sz w:val="20"/>
          <w:szCs w:val="20"/>
          <w:color w:val="auto"/>
        </w:rPr>
      </w:pPr>
    </w:p>
    <w:p>
      <w:pPr>
        <w:jc w:val="center"/>
        <w:ind w:right="19"/>
        <w:spacing w:after="0"/>
        <w:rPr>
          <w:sz w:val="20"/>
          <w:szCs w:val="20"/>
          <w:color w:val="auto"/>
        </w:rPr>
      </w:pPr>
      <w:r>
        <w:rPr>
          <w:rFonts w:ascii="Calibri" w:cs="Calibri" w:eastAsia="Calibri" w:hAnsi="Calibri"/>
          <w:sz w:val="14"/>
          <w:szCs w:val="14"/>
          <w:color w:val="auto"/>
        </w:rPr>
        <w:t>-15-</w:t>
      </w:r>
    </w:p>
    <w:p>
      <w:pPr>
        <w:sectPr>
          <w:pgSz w:w="11900" w:h="16838" w:orient="portrait"/>
          <w:cols w:equalWidth="0" w:num="1">
            <w:col w:w="9019"/>
          </w:cols>
          <w:pgMar w:left="1440" w:top="238" w:right="1440" w:bottom="1440" w:gutter="0" w:footer="0" w:header="0"/>
        </w:sectPr>
      </w:pPr>
    </w:p>
    <w:bookmarkStart w:id="58" w:name="page59"/>
    <w:bookmarkEnd w:id="58"/>
    <w:p>
      <w:pPr>
        <w:ind w:left="980" w:right="299" w:hanging="341"/>
        <w:spacing w:after="0" w:line="235" w:lineRule="auto"/>
        <w:tabs>
          <w:tab w:leader="none" w:pos="980" w:val="left"/>
        </w:tabs>
        <w:numPr>
          <w:ilvl w:val="0"/>
          <w:numId w:val="35"/>
        </w:numPr>
        <w:rPr>
          <w:rFonts w:ascii="Calibri" w:cs="Calibri" w:eastAsia="Calibri" w:hAnsi="Calibri"/>
          <w:sz w:val="14"/>
          <w:szCs w:val="14"/>
          <w:color w:val="auto"/>
        </w:rPr>
      </w:pPr>
      <w:r>
        <w:rPr>
          <w:rFonts w:ascii="Calibri" w:cs="Calibri" w:eastAsia="Calibri" w:hAnsi="Calibri"/>
          <w:sz w:val="14"/>
          <w:szCs w:val="14"/>
          <w:color w:val="auto"/>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86">
                      <a:extLst>
                        <a:ext uri="{28A0092B-C50C-407E-A947-70E740481C1C}"/>
                      </a:extLst>
                    </a:blip>
                    <a:srcRect/>
                    <a:stretch>
                      <a:fillRect/>
                    </a:stretch>
                  </pic:blipFill>
                  <pic:spPr bwMode="auto">
                    <a:xfrm>
                      <a:off x="0" y="0"/>
                      <a:ext cx="7201535" cy="32385"/>
                    </a:xfrm>
                    <a:prstGeom prst="rect">
                      <a:avLst/>
                    </a:prstGeom>
                    <a:noFill/>
                  </pic:spPr>
                </pic:pic>
              </a:graphicData>
            </a:graphic>
          </wp:anchor>
        </w:drawing>
        <w:t>no Default or Event of Default with respect to the applicable series of debt securites shall have occurred or is contnuing on the date of such deposit; and</w:t>
      </w:r>
    </w:p>
    <w:p>
      <w:pPr>
        <w:spacing w:after="0" w:line="95" w:lineRule="exact"/>
        <w:rPr>
          <w:rFonts w:ascii="Calibri" w:cs="Calibri" w:eastAsia="Calibri" w:hAnsi="Calibri"/>
          <w:sz w:val="14"/>
          <w:szCs w:val="14"/>
          <w:color w:val="auto"/>
        </w:rPr>
      </w:pPr>
    </w:p>
    <w:p>
      <w:pPr>
        <w:ind w:left="980" w:right="279" w:hanging="341"/>
        <w:spacing w:after="0" w:line="235" w:lineRule="auto"/>
        <w:tabs>
          <w:tab w:leader="none" w:pos="980" w:val="left"/>
        </w:tabs>
        <w:numPr>
          <w:ilvl w:val="0"/>
          <w:numId w:val="35"/>
        </w:numPr>
        <w:rPr>
          <w:rFonts w:ascii="Calibri" w:cs="Calibri" w:eastAsia="Calibri" w:hAnsi="Calibri"/>
          <w:sz w:val="14"/>
          <w:szCs w:val="14"/>
          <w:color w:val="auto"/>
        </w:rPr>
      </w:pPr>
      <w:r>
        <w:rPr>
          <w:rFonts w:ascii="Calibri" w:cs="Calibri" w:eastAsia="Calibri" w:hAnsi="Calibri"/>
          <w:sz w:val="14"/>
          <w:szCs w:val="14"/>
          <w:color w:val="auto"/>
        </w:rPr>
        <w:t>delivering to the trustee an opinion of counsel to the efect that we have received from, or there has been published by, the United States Internal Revenue Service a ruling or, since the date of executon of the indenture, there has been a change in the applicable United States federal income tax law, in either case to the efect that, and based thereon such opinion shall confrm that, the holders of the debt securites of that series will not recognize income, gain or loss for United States federal income tax purposes as a result of the deposit and related covenant defeasance and will be subject to United States federal income tax on the same amounts and in the same manner and at the same tmes as would have been the case if the deposit and related covenant defeasance had not occurred.</w:t>
      </w:r>
    </w:p>
    <w:p>
      <w:pPr>
        <w:spacing w:after="0" w:line="252" w:lineRule="exact"/>
        <w:rPr>
          <w:sz w:val="20"/>
          <w:szCs w:val="20"/>
          <w:color w:val="auto"/>
        </w:rPr>
      </w:pPr>
    </w:p>
    <w:p>
      <w:pPr>
        <w:ind w:left="220"/>
        <w:spacing w:after="0"/>
        <w:rPr>
          <w:sz w:val="20"/>
          <w:szCs w:val="20"/>
          <w:color w:val="auto"/>
        </w:rPr>
      </w:pPr>
      <w:r>
        <w:rPr>
          <w:rFonts w:ascii="Calibri" w:cs="Calibri" w:eastAsia="Calibri" w:hAnsi="Calibri"/>
          <w:sz w:val="14"/>
          <w:szCs w:val="14"/>
          <w:b w:val="1"/>
          <w:bCs w:val="1"/>
          <w:color w:val="auto"/>
        </w:rPr>
        <w:t>No Personal Liability of Directors, Ofcers, Employees or Stockholders</w:t>
      </w:r>
    </w:p>
    <w:p>
      <w:pPr>
        <w:spacing w:after="0" w:line="85" w:lineRule="exact"/>
        <w:rPr>
          <w:sz w:val="20"/>
          <w:szCs w:val="20"/>
          <w:color w:val="auto"/>
        </w:rPr>
      </w:pPr>
    </w:p>
    <w:p>
      <w:pPr>
        <w:ind w:left="220" w:right="299" w:firstLine="343"/>
        <w:spacing w:after="0" w:line="235" w:lineRule="auto"/>
        <w:rPr>
          <w:sz w:val="20"/>
          <w:szCs w:val="20"/>
          <w:color w:val="auto"/>
        </w:rPr>
      </w:pPr>
      <w:r>
        <w:rPr>
          <w:rFonts w:ascii="Calibri" w:cs="Calibri" w:eastAsia="Calibri" w:hAnsi="Calibri"/>
          <w:sz w:val="14"/>
          <w:szCs w:val="14"/>
          <w:color w:val="auto"/>
        </w:rPr>
        <w:t>None of our past, present or future directors, ofcers, employees or stockholders, as such, will have any liability for any of our obligatons under the debt securites or the indenture or for any claim based on, or in respect or by reason of, such obligatons or their creaton. By acceptng a debt security, each holder waives and releases all such liability. This waiver and release is part of the consideraton for the issue of the debt securites. However, this waiver and release may not be efectve to waive liabilites under U.S. federal securites laws, and it is the view of the SEC that such a waiver is against public policy.</w:t>
      </w:r>
    </w:p>
    <w:p>
      <w:pPr>
        <w:spacing w:after="0" w:line="252" w:lineRule="exact"/>
        <w:rPr>
          <w:sz w:val="20"/>
          <w:szCs w:val="20"/>
          <w:color w:val="auto"/>
        </w:rPr>
      </w:pPr>
    </w:p>
    <w:p>
      <w:pPr>
        <w:ind w:left="220"/>
        <w:spacing w:after="0"/>
        <w:rPr>
          <w:sz w:val="20"/>
          <w:szCs w:val="20"/>
          <w:color w:val="auto"/>
        </w:rPr>
      </w:pPr>
      <w:r>
        <w:rPr>
          <w:rFonts w:ascii="Calibri" w:cs="Calibri" w:eastAsia="Calibri" w:hAnsi="Calibri"/>
          <w:sz w:val="14"/>
          <w:szCs w:val="14"/>
          <w:b w:val="1"/>
          <w:bCs w:val="1"/>
          <w:color w:val="auto"/>
        </w:rPr>
        <w:t>Governing Law</w:t>
      </w:r>
    </w:p>
    <w:p>
      <w:pPr>
        <w:spacing w:after="0" w:line="85" w:lineRule="exact"/>
        <w:rPr>
          <w:sz w:val="20"/>
          <w:szCs w:val="20"/>
          <w:color w:val="auto"/>
        </w:rPr>
      </w:pPr>
    </w:p>
    <w:p>
      <w:pPr>
        <w:ind w:left="220" w:right="779" w:firstLine="343"/>
        <w:spacing w:after="0" w:line="235" w:lineRule="auto"/>
        <w:rPr>
          <w:sz w:val="20"/>
          <w:szCs w:val="20"/>
          <w:color w:val="auto"/>
        </w:rPr>
      </w:pPr>
      <w:r>
        <w:rPr>
          <w:rFonts w:ascii="Calibri" w:cs="Calibri" w:eastAsia="Calibri" w:hAnsi="Calibri"/>
          <w:sz w:val="14"/>
          <w:szCs w:val="14"/>
          <w:color w:val="auto"/>
        </w:rPr>
        <w:t>The indenture and the debt securites, including any claim or controversy arising out of or relatng to the indenture or the securites, will be governed by the laws of the State of New York.</w:t>
      </w:r>
    </w:p>
    <w:p>
      <w:pPr>
        <w:spacing w:after="0" w:line="169" w:lineRule="exact"/>
        <w:rPr>
          <w:sz w:val="20"/>
          <w:szCs w:val="20"/>
          <w:color w:val="auto"/>
        </w:rPr>
      </w:pPr>
    </w:p>
    <w:p>
      <w:pPr>
        <w:ind w:left="220" w:right="259" w:firstLine="343"/>
        <w:spacing w:after="0" w:line="235" w:lineRule="auto"/>
        <w:rPr>
          <w:sz w:val="20"/>
          <w:szCs w:val="20"/>
          <w:color w:val="auto"/>
        </w:rPr>
      </w:pPr>
      <w:r>
        <w:rPr>
          <w:rFonts w:ascii="Calibri" w:cs="Calibri" w:eastAsia="Calibri" w:hAnsi="Calibri"/>
          <w:sz w:val="14"/>
          <w:szCs w:val="14"/>
          <w:color w:val="auto"/>
        </w:rPr>
        <w:t>The indenture will provide that we, the trustee and the holders of the debt securites (by their acceptance of the debt securites) irrevocably waive, to the fullest extent permited by applicable law, any and all right to trial by jury in any legal proceeding arising out of or relatng to the indenture, the debt securites or the transactons contemplated thereby.</w:t>
      </w:r>
    </w:p>
    <w:p>
      <w:pPr>
        <w:spacing w:after="0" w:line="170" w:lineRule="exact"/>
        <w:rPr>
          <w:sz w:val="20"/>
          <w:szCs w:val="20"/>
          <w:color w:val="auto"/>
        </w:rPr>
      </w:pPr>
    </w:p>
    <w:p>
      <w:pPr>
        <w:ind w:left="220" w:right="239" w:firstLine="343"/>
        <w:spacing w:after="0" w:line="235" w:lineRule="auto"/>
        <w:rPr>
          <w:sz w:val="20"/>
          <w:szCs w:val="20"/>
          <w:color w:val="auto"/>
        </w:rPr>
      </w:pPr>
      <w:r>
        <w:rPr>
          <w:rFonts w:ascii="Calibri" w:cs="Calibri" w:eastAsia="Calibri" w:hAnsi="Calibri"/>
          <w:sz w:val="14"/>
          <w:szCs w:val="14"/>
          <w:color w:val="auto"/>
        </w:rPr>
        <w:t>The indenture will provide that any legal suit, acton or proceeding arising out of or based upon the indenture or the transactons contemplated thereby may be insttuted in the federal courts of the United States of America located in the City of New York or the courts of the State of New York in each case located in the City of New York, and we, the trustee and the holder of the debt securites (by their acceptance of the debt securites) irrevocably submit to the non-exclusive jurisdicton of such courts in any such suit, acton or proceeding. The indenture will further provide that service of any process, summons, notce or document by mail (to the extent allowed under any applicable statute or rule of court) to such party’s address set forth in the indenture will be efectve service of process for any suit, acton or other proceeding brought in any such court. The indenture will further provide that we, the trustee and the holders of the debt securites (by their acceptance of the debt securites) irrevocably and unconditonally waive any objecton to the laying of venue of any suit, acton or other proceeding in the courts specifed above and irrevocably and unconditonally waive and agree not to plead or claim any such suit, acton or other proceeding has been brought in an inconvenient forum.</w:t>
      </w:r>
    </w:p>
    <w:p>
      <w:pPr>
        <w:spacing w:after="0" w:line="118" w:lineRule="exact"/>
        <w:rPr>
          <w:sz w:val="20"/>
          <w:szCs w:val="20"/>
          <w:color w:val="auto"/>
        </w:rPr>
      </w:pPr>
    </w:p>
    <w:p>
      <w:pPr>
        <w:jc w:val="center"/>
        <w:spacing w:after="0"/>
        <w:rPr>
          <w:sz w:val="20"/>
          <w:szCs w:val="20"/>
          <w:color w:val="auto"/>
        </w:rPr>
      </w:pPr>
      <w:r>
        <w:rPr>
          <w:rFonts w:ascii="Calibri" w:cs="Calibri" w:eastAsia="Calibri" w:hAnsi="Calibri"/>
          <w:sz w:val="14"/>
          <w:szCs w:val="14"/>
          <w:color w:val="auto"/>
        </w:rPr>
        <w:t>-16-</w:t>
      </w:r>
    </w:p>
    <w:p>
      <w:pPr>
        <w:sectPr>
          <w:pgSz w:w="11900" w:h="16838" w:orient="portrait"/>
          <w:cols w:equalWidth="0" w:num="1">
            <w:col w:w="9019"/>
          </w:cols>
          <w:pgMar w:left="1440" w:top="238" w:right="1440" w:bottom="1440" w:gutter="0" w:footer="0" w:header="0"/>
        </w:sectPr>
      </w:pPr>
    </w:p>
    <w:bookmarkStart w:id="59" w:name="page60"/>
    <w:bookmarkEnd w:id="59"/>
    <w:p>
      <w:pPr>
        <w:jc w:val="center"/>
        <w:spacing w:after="0"/>
        <w:rPr>
          <w:sz w:val="20"/>
          <w:szCs w:val="20"/>
          <w:color w:val="auto"/>
        </w:rPr>
      </w:pPr>
      <w:r>
        <w:rPr>
          <w:rFonts w:ascii="Calibri" w:cs="Calibri" w:eastAsia="Calibri" w:hAnsi="Calibri"/>
          <w:sz w:val="14"/>
          <w:szCs w:val="14"/>
          <w:b w:val="1"/>
          <w:bCs w:val="1"/>
          <w:color w:val="auto"/>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87">
                      <a:extLst>
                        <a:ext uri="{28A0092B-C50C-407E-A947-70E740481C1C}"/>
                      </a:extLst>
                    </a:blip>
                    <a:srcRect/>
                    <a:stretch>
                      <a:fillRect/>
                    </a:stretch>
                  </pic:blipFill>
                  <pic:spPr bwMode="auto">
                    <a:xfrm>
                      <a:off x="0" y="0"/>
                      <a:ext cx="7201535" cy="32385"/>
                    </a:xfrm>
                    <a:prstGeom prst="rect">
                      <a:avLst/>
                    </a:prstGeom>
                    <a:noFill/>
                  </pic:spPr>
                </pic:pic>
              </a:graphicData>
            </a:graphic>
          </wp:anchor>
        </w:drawing>
        <w:t>DESCRIPTION OF DEPOSITARY SHARES</w:t>
      </w:r>
    </w:p>
    <w:p>
      <w:pPr>
        <w:spacing w:after="0" w:line="165" w:lineRule="exact"/>
        <w:rPr>
          <w:sz w:val="20"/>
          <w:szCs w:val="20"/>
          <w:color w:val="auto"/>
        </w:rPr>
      </w:pPr>
    </w:p>
    <w:p>
      <w:pPr>
        <w:ind w:left="220"/>
        <w:spacing w:after="0"/>
        <w:rPr>
          <w:sz w:val="20"/>
          <w:szCs w:val="20"/>
          <w:color w:val="auto"/>
        </w:rPr>
      </w:pPr>
      <w:r>
        <w:rPr>
          <w:rFonts w:ascii="Calibri" w:cs="Calibri" w:eastAsia="Calibri" w:hAnsi="Calibri"/>
          <w:sz w:val="14"/>
          <w:szCs w:val="14"/>
          <w:b w:val="1"/>
          <w:bCs w:val="1"/>
          <w:color w:val="auto"/>
        </w:rPr>
        <w:t>General</w:t>
      </w:r>
    </w:p>
    <w:p>
      <w:pPr>
        <w:spacing w:after="0" w:line="85" w:lineRule="exact"/>
        <w:rPr>
          <w:sz w:val="20"/>
          <w:szCs w:val="20"/>
          <w:color w:val="auto"/>
        </w:rPr>
      </w:pPr>
    </w:p>
    <w:p>
      <w:pPr>
        <w:ind w:left="220" w:right="219" w:firstLine="343"/>
        <w:spacing w:after="0" w:line="235" w:lineRule="auto"/>
        <w:rPr>
          <w:sz w:val="20"/>
          <w:szCs w:val="20"/>
          <w:color w:val="auto"/>
        </w:rPr>
      </w:pPr>
      <w:r>
        <w:rPr>
          <w:rFonts w:ascii="Calibri" w:cs="Calibri" w:eastAsia="Calibri" w:hAnsi="Calibri"/>
          <w:sz w:val="14"/>
          <w:szCs w:val="14"/>
          <w:color w:val="auto"/>
        </w:rPr>
        <w:t>We may ofer depositary shares representng a fractonal interest in a share of a partcular series of preferred stock. Unless otherwise provided in the prospectus supplement, each owner of a depositary share will be enttled, in proporton to the applicable fractonal interest in a share of preferred stock represented by the depositary share, to all the rights and preferences of the preferred stock represented by the depositary share. Those rights include dividend, votng, redempton, conversion and liquidaton rights.</w:t>
      </w:r>
    </w:p>
    <w:p>
      <w:pPr>
        <w:spacing w:after="0" w:line="171" w:lineRule="exact"/>
        <w:rPr>
          <w:sz w:val="20"/>
          <w:szCs w:val="20"/>
          <w:color w:val="auto"/>
        </w:rPr>
      </w:pPr>
    </w:p>
    <w:p>
      <w:pPr>
        <w:ind w:left="220" w:right="319" w:firstLine="343"/>
        <w:spacing w:after="0" w:line="235" w:lineRule="auto"/>
        <w:rPr>
          <w:sz w:val="20"/>
          <w:szCs w:val="20"/>
          <w:color w:val="auto"/>
        </w:rPr>
      </w:pPr>
      <w:r>
        <w:rPr>
          <w:rFonts w:ascii="Calibri" w:cs="Calibri" w:eastAsia="Calibri" w:hAnsi="Calibri"/>
          <w:sz w:val="14"/>
          <w:szCs w:val="14"/>
          <w:color w:val="auto"/>
        </w:rPr>
        <w:t>The shares of preferred stock underlying the depositary shares will be deposited with a bank or trust company selected by us to act as depositary under a deposit agreement between us, the depositary and the holders of the depositary receipts. The depositary will be the transfer agent, registrar and dividend disbursing agent for the depositary shares.</w:t>
      </w:r>
    </w:p>
    <w:p>
      <w:pPr>
        <w:spacing w:after="0" w:line="170" w:lineRule="exact"/>
        <w:rPr>
          <w:sz w:val="20"/>
          <w:szCs w:val="20"/>
          <w:color w:val="auto"/>
        </w:rPr>
      </w:pPr>
    </w:p>
    <w:p>
      <w:pPr>
        <w:ind w:left="220" w:right="259" w:firstLine="343"/>
        <w:spacing w:after="0" w:line="235" w:lineRule="auto"/>
        <w:rPr>
          <w:sz w:val="20"/>
          <w:szCs w:val="20"/>
          <w:color w:val="auto"/>
        </w:rPr>
      </w:pPr>
      <w:r>
        <w:rPr>
          <w:rFonts w:ascii="Calibri" w:cs="Calibri" w:eastAsia="Calibri" w:hAnsi="Calibri"/>
          <w:sz w:val="14"/>
          <w:szCs w:val="14"/>
          <w:color w:val="auto"/>
        </w:rPr>
        <w:t>The depositary shares will be evidenced by depositary receipts issued pursuant to the deposit agreement. Holders of depositary receipts agree to be bound by the deposit agreement, which requires holders to take certain actons such as fling proof of residence and paying certain charges.</w:t>
      </w:r>
    </w:p>
    <w:p>
      <w:pPr>
        <w:spacing w:after="0" w:line="169" w:lineRule="exact"/>
        <w:rPr>
          <w:sz w:val="20"/>
          <w:szCs w:val="20"/>
          <w:color w:val="auto"/>
        </w:rPr>
      </w:pPr>
    </w:p>
    <w:p>
      <w:pPr>
        <w:ind w:left="220" w:right="259" w:firstLine="343"/>
        <w:spacing w:after="0" w:line="266" w:lineRule="auto"/>
        <w:rPr>
          <w:sz w:val="20"/>
          <w:szCs w:val="20"/>
          <w:color w:val="auto"/>
        </w:rPr>
      </w:pPr>
      <w:r>
        <w:rPr>
          <w:rFonts w:ascii="Calibri" w:cs="Calibri" w:eastAsia="Calibri" w:hAnsi="Calibri"/>
          <w:sz w:val="13"/>
          <w:szCs w:val="13"/>
          <w:color w:val="auto"/>
        </w:rPr>
        <w:t>The summary of terms of the depositary shares contained in this prospectus is not complete. You should refer to the form of the deposit agreement, our certfcate of incorporaton and the certfcate of designaton for the applicable series of preferred stock that are, or will be, fled with the SEC.</w:t>
      </w:r>
    </w:p>
    <w:p>
      <w:pPr>
        <w:spacing w:after="0" w:line="232" w:lineRule="exact"/>
        <w:rPr>
          <w:sz w:val="20"/>
          <w:szCs w:val="20"/>
          <w:color w:val="auto"/>
        </w:rPr>
      </w:pPr>
    </w:p>
    <w:p>
      <w:pPr>
        <w:ind w:left="220"/>
        <w:spacing w:after="0"/>
        <w:rPr>
          <w:sz w:val="20"/>
          <w:szCs w:val="20"/>
          <w:color w:val="auto"/>
        </w:rPr>
      </w:pPr>
      <w:r>
        <w:rPr>
          <w:rFonts w:ascii="Calibri" w:cs="Calibri" w:eastAsia="Calibri" w:hAnsi="Calibri"/>
          <w:sz w:val="14"/>
          <w:szCs w:val="14"/>
          <w:b w:val="1"/>
          <w:bCs w:val="1"/>
          <w:color w:val="auto"/>
        </w:rPr>
        <w:t>Dividends and Other Distributons</w:t>
      </w:r>
    </w:p>
    <w:p>
      <w:pPr>
        <w:spacing w:after="0" w:line="85" w:lineRule="exact"/>
        <w:rPr>
          <w:sz w:val="20"/>
          <w:szCs w:val="20"/>
          <w:color w:val="auto"/>
        </w:rPr>
      </w:pPr>
    </w:p>
    <w:p>
      <w:pPr>
        <w:ind w:left="220" w:right="439" w:firstLine="343"/>
        <w:spacing w:after="0" w:line="235" w:lineRule="auto"/>
        <w:rPr>
          <w:sz w:val="20"/>
          <w:szCs w:val="20"/>
          <w:color w:val="auto"/>
        </w:rPr>
      </w:pPr>
      <w:r>
        <w:rPr>
          <w:rFonts w:ascii="Calibri" w:cs="Calibri" w:eastAsia="Calibri" w:hAnsi="Calibri"/>
          <w:sz w:val="14"/>
          <w:szCs w:val="14"/>
          <w:color w:val="auto"/>
        </w:rPr>
        <w:t>The depositary will distribute all cash dividends or other cash distributons, if any, received in respect of the preferred stock underlying the depositary shares to the record holders of depositary shares in proporton to the numbers of depositary shares owned by those holders on the relevant record date. The relevant record date for depositary shares will be the same date as the record date for the underlying preferred stock.</w:t>
      </w:r>
    </w:p>
    <w:p>
      <w:pPr>
        <w:spacing w:after="0" w:line="170" w:lineRule="exact"/>
        <w:rPr>
          <w:sz w:val="20"/>
          <w:szCs w:val="20"/>
          <w:color w:val="auto"/>
        </w:rPr>
      </w:pPr>
    </w:p>
    <w:p>
      <w:pPr>
        <w:ind w:left="220" w:right="419" w:firstLine="343"/>
        <w:spacing w:after="0" w:line="235" w:lineRule="auto"/>
        <w:rPr>
          <w:sz w:val="20"/>
          <w:szCs w:val="20"/>
          <w:color w:val="auto"/>
        </w:rPr>
      </w:pPr>
      <w:r>
        <w:rPr>
          <w:rFonts w:ascii="Calibri" w:cs="Calibri" w:eastAsia="Calibri" w:hAnsi="Calibri"/>
          <w:sz w:val="14"/>
          <w:szCs w:val="14"/>
          <w:color w:val="auto"/>
        </w:rPr>
        <w:t>If there is a distributon other than in cash, the depositary will distribute property (including securites) received by it to the record holders of depositary shares, unless the depositary determines that it is not feasible to make the distributon. If this occurs, the depositary may, with our approval, adopt another method for the distributon, including selling the property and distributng the net proceeds from the sale to the holders.</w:t>
      </w:r>
    </w:p>
    <w:p>
      <w:pPr>
        <w:spacing w:after="0" w:line="250" w:lineRule="exact"/>
        <w:rPr>
          <w:sz w:val="20"/>
          <w:szCs w:val="20"/>
          <w:color w:val="auto"/>
        </w:rPr>
      </w:pPr>
    </w:p>
    <w:p>
      <w:pPr>
        <w:ind w:left="220"/>
        <w:spacing w:after="0"/>
        <w:rPr>
          <w:sz w:val="20"/>
          <w:szCs w:val="20"/>
          <w:color w:val="auto"/>
        </w:rPr>
      </w:pPr>
      <w:r>
        <w:rPr>
          <w:rFonts w:ascii="Calibri" w:cs="Calibri" w:eastAsia="Calibri" w:hAnsi="Calibri"/>
          <w:sz w:val="14"/>
          <w:szCs w:val="14"/>
          <w:b w:val="1"/>
          <w:bCs w:val="1"/>
          <w:color w:val="auto"/>
        </w:rPr>
        <w:t>Liquidaton Preference</w:t>
      </w:r>
    </w:p>
    <w:p>
      <w:pPr>
        <w:spacing w:after="0" w:line="85" w:lineRule="exact"/>
        <w:rPr>
          <w:sz w:val="20"/>
          <w:szCs w:val="20"/>
          <w:color w:val="auto"/>
        </w:rPr>
      </w:pPr>
    </w:p>
    <w:p>
      <w:pPr>
        <w:jc w:val="both"/>
        <w:ind w:left="220" w:right="379" w:firstLine="343"/>
        <w:spacing w:after="0" w:line="235" w:lineRule="auto"/>
        <w:rPr>
          <w:sz w:val="20"/>
          <w:szCs w:val="20"/>
          <w:color w:val="auto"/>
        </w:rPr>
      </w:pPr>
      <w:r>
        <w:rPr>
          <w:rFonts w:ascii="Calibri" w:cs="Calibri" w:eastAsia="Calibri" w:hAnsi="Calibri"/>
          <w:sz w:val="14"/>
          <w:szCs w:val="14"/>
          <w:color w:val="auto"/>
        </w:rPr>
        <w:t>If a series of preferred stock underlying the depositary shares has a liquidaton preference, in the event of the voluntary or involuntary liquidaton, dissoluton or winding up of us, holders of depositary shares will be enttled to receive the fracton of the liquidaton preference accorded each share of the applicable series of preferred stock, as set forth in the applicable prospectus supplement.</w:t>
      </w:r>
    </w:p>
    <w:p>
      <w:pPr>
        <w:spacing w:after="0" w:line="250" w:lineRule="exact"/>
        <w:rPr>
          <w:sz w:val="20"/>
          <w:szCs w:val="20"/>
          <w:color w:val="auto"/>
        </w:rPr>
      </w:pPr>
    </w:p>
    <w:p>
      <w:pPr>
        <w:ind w:left="220"/>
        <w:spacing w:after="0"/>
        <w:rPr>
          <w:sz w:val="20"/>
          <w:szCs w:val="20"/>
          <w:color w:val="auto"/>
        </w:rPr>
      </w:pPr>
      <w:r>
        <w:rPr>
          <w:rFonts w:ascii="Calibri" w:cs="Calibri" w:eastAsia="Calibri" w:hAnsi="Calibri"/>
          <w:sz w:val="14"/>
          <w:szCs w:val="14"/>
          <w:b w:val="1"/>
          <w:bCs w:val="1"/>
          <w:color w:val="auto"/>
        </w:rPr>
        <w:t>Withdrawal of Stock</w:t>
      </w:r>
    </w:p>
    <w:p>
      <w:pPr>
        <w:spacing w:after="0" w:line="85" w:lineRule="exact"/>
        <w:rPr>
          <w:sz w:val="20"/>
          <w:szCs w:val="20"/>
          <w:color w:val="auto"/>
        </w:rPr>
      </w:pPr>
    </w:p>
    <w:p>
      <w:pPr>
        <w:ind w:left="220" w:right="239" w:firstLine="343"/>
        <w:spacing w:after="0" w:line="235" w:lineRule="auto"/>
        <w:rPr>
          <w:sz w:val="20"/>
          <w:szCs w:val="20"/>
          <w:color w:val="auto"/>
        </w:rPr>
      </w:pPr>
      <w:r>
        <w:rPr>
          <w:rFonts w:ascii="Calibri" w:cs="Calibri" w:eastAsia="Calibri" w:hAnsi="Calibri"/>
          <w:sz w:val="14"/>
          <w:szCs w:val="14"/>
          <w:color w:val="auto"/>
        </w:rPr>
        <w:t>Unless the related depositary shares have been previously called for redempton, upon surrender of the depositary receipts at the ofce of the depositary, the holder of the depositary shares will be enttled to delivery, at the ofce of the depositary to or upon his or her order, of the number of whole shares of the preferred stock and any money or other property represented by the depositary shares. If the depositary receipts delivered by the holder evidence a number of depositary shares in excess of the number of depositary shares representng the number of whole shares of preferred stock to be withdrawn, the depositary will deliver to the holder at the same tme a new depositary receipt evidencing the excess number of depositary shares. In no event will the depositary deliver fractonal shares of preferred stock upon surrender of depositary receipts.</w:t>
      </w:r>
    </w:p>
    <w:p>
      <w:pPr>
        <w:spacing w:after="0" w:line="116" w:lineRule="exact"/>
        <w:rPr>
          <w:sz w:val="20"/>
          <w:szCs w:val="20"/>
          <w:color w:val="auto"/>
        </w:rPr>
      </w:pPr>
    </w:p>
    <w:p>
      <w:pPr>
        <w:jc w:val="center"/>
        <w:spacing w:after="0"/>
        <w:rPr>
          <w:sz w:val="20"/>
          <w:szCs w:val="20"/>
          <w:color w:val="auto"/>
        </w:rPr>
      </w:pPr>
      <w:r>
        <w:rPr>
          <w:rFonts w:ascii="Calibri" w:cs="Calibri" w:eastAsia="Calibri" w:hAnsi="Calibri"/>
          <w:sz w:val="14"/>
          <w:szCs w:val="14"/>
          <w:color w:val="auto"/>
        </w:rPr>
        <w:t>-17-</w:t>
      </w:r>
    </w:p>
    <w:p>
      <w:pPr>
        <w:sectPr>
          <w:pgSz w:w="11900" w:h="16838" w:orient="portrait"/>
          <w:cols w:equalWidth="0" w:num="1">
            <w:col w:w="9019"/>
          </w:cols>
          <w:pgMar w:left="1440" w:top="234" w:right="1440" w:bottom="1440" w:gutter="0" w:footer="0" w:header="0"/>
        </w:sectPr>
      </w:pPr>
    </w:p>
    <w:bookmarkStart w:id="60" w:name="page61"/>
    <w:bookmarkEnd w:id="60"/>
    <w:p>
      <w:pPr>
        <w:ind w:left="220" w:right="239"/>
        <w:spacing w:after="0" w:line="235" w:lineRule="auto"/>
        <w:rPr>
          <w:sz w:val="20"/>
          <w:szCs w:val="20"/>
          <w:color w:val="auto"/>
        </w:rPr>
      </w:pPr>
      <w:r>
        <w:rPr>
          <w:rFonts w:ascii="Calibri" w:cs="Calibri" w:eastAsia="Calibri" w:hAnsi="Calibri"/>
          <w:sz w:val="14"/>
          <w:szCs w:val="14"/>
          <w:color w:val="auto"/>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8">
                      <a:extLst>
                        <a:ext uri="{28A0092B-C50C-407E-A947-70E740481C1C}"/>
                      </a:extLst>
                    </a:blip>
                    <a:srcRect/>
                    <a:stretch>
                      <a:fillRect/>
                    </a:stretch>
                  </pic:blipFill>
                  <pic:spPr bwMode="auto">
                    <a:xfrm>
                      <a:off x="0" y="0"/>
                      <a:ext cx="7201535" cy="32385"/>
                    </a:xfrm>
                    <a:prstGeom prst="rect">
                      <a:avLst/>
                    </a:prstGeom>
                    <a:noFill/>
                  </pic:spPr>
                </pic:pic>
              </a:graphicData>
            </a:graphic>
          </wp:anchor>
        </w:drawing>
        <w:t>Holders of preferred stock thus withdrawn may not thereafer deposit those shares under the deposit agreement or receive depositary receipts evidencing depositary shares therefor.</w:t>
      </w:r>
    </w:p>
    <w:p>
      <w:pPr>
        <w:spacing w:after="0" w:line="250" w:lineRule="exact"/>
        <w:rPr>
          <w:sz w:val="20"/>
          <w:szCs w:val="20"/>
          <w:color w:val="auto"/>
        </w:rPr>
      </w:pPr>
    </w:p>
    <w:p>
      <w:pPr>
        <w:ind w:left="220"/>
        <w:spacing w:after="0"/>
        <w:rPr>
          <w:sz w:val="20"/>
          <w:szCs w:val="20"/>
          <w:color w:val="auto"/>
        </w:rPr>
      </w:pPr>
      <w:r>
        <w:rPr>
          <w:rFonts w:ascii="Calibri" w:cs="Calibri" w:eastAsia="Calibri" w:hAnsi="Calibri"/>
          <w:sz w:val="14"/>
          <w:szCs w:val="14"/>
          <w:b w:val="1"/>
          <w:bCs w:val="1"/>
          <w:color w:val="auto"/>
        </w:rPr>
        <w:t>Redempton of Depositary Shares</w:t>
      </w:r>
    </w:p>
    <w:p>
      <w:pPr>
        <w:spacing w:after="0" w:line="85" w:lineRule="exact"/>
        <w:rPr>
          <w:sz w:val="20"/>
          <w:szCs w:val="20"/>
          <w:color w:val="auto"/>
        </w:rPr>
      </w:pPr>
    </w:p>
    <w:p>
      <w:pPr>
        <w:ind w:left="220" w:right="319" w:firstLine="343"/>
        <w:spacing w:after="0" w:line="256" w:lineRule="auto"/>
        <w:rPr>
          <w:sz w:val="20"/>
          <w:szCs w:val="20"/>
          <w:color w:val="auto"/>
        </w:rPr>
      </w:pPr>
      <w:r>
        <w:rPr>
          <w:rFonts w:ascii="Calibri" w:cs="Calibri" w:eastAsia="Calibri" w:hAnsi="Calibri"/>
          <w:sz w:val="13"/>
          <w:szCs w:val="13"/>
          <w:color w:val="auto"/>
        </w:rPr>
        <w:t>Whenever we redeem shares of preferred stock held by the depositary, the depositary will redeem as of the same redempton date the number of depositary shares representng shares of the preferred stock so redeemed, so long as we have paid in full to the depositary the redempton price of the preferred stock to be redeemed plus an amount equal to any accumulated and unpaid dividends on the preferred stock to the date fxed for redempton. The redempton price per depositary share will be equal to the redempton price and any other amounts per share payable on the preferred stock multplied by the fracton of a share of preferred stock represented by one depositary share. If less than all the depositary shares are to be redeemed, the depositary shares to be redeemed will be selected by lot or pro rata or by any other equitable method as may be determined by the depositary.</w:t>
      </w:r>
    </w:p>
    <w:p>
      <w:pPr>
        <w:spacing w:after="0" w:line="161" w:lineRule="exact"/>
        <w:rPr>
          <w:sz w:val="20"/>
          <w:szCs w:val="20"/>
          <w:color w:val="auto"/>
        </w:rPr>
      </w:pPr>
    </w:p>
    <w:p>
      <w:pPr>
        <w:jc w:val="both"/>
        <w:ind w:left="220" w:right="239" w:firstLine="343"/>
        <w:spacing w:after="0" w:line="260" w:lineRule="auto"/>
        <w:rPr>
          <w:sz w:val="20"/>
          <w:szCs w:val="20"/>
          <w:color w:val="auto"/>
        </w:rPr>
      </w:pPr>
      <w:r>
        <w:rPr>
          <w:rFonts w:ascii="Calibri" w:cs="Calibri" w:eastAsia="Calibri" w:hAnsi="Calibri"/>
          <w:sz w:val="13"/>
          <w:szCs w:val="13"/>
          <w:color w:val="auto"/>
        </w:rPr>
        <w:t>Afer the date fxed for redempton, depositary shares called for redempton will no longer be deemed to be outstanding and all rights of the holders of depositary shares will cease, except the right to receive the monies payable upon redempton and any money or other property to which the holders of the depositary shares were enttled upon redempton upon surrender to the depositary of the depositary receipts evidencing the depositary shares.</w:t>
      </w:r>
    </w:p>
    <w:p>
      <w:pPr>
        <w:spacing w:after="0" w:line="237" w:lineRule="exact"/>
        <w:rPr>
          <w:sz w:val="20"/>
          <w:szCs w:val="20"/>
          <w:color w:val="auto"/>
        </w:rPr>
      </w:pPr>
    </w:p>
    <w:p>
      <w:pPr>
        <w:ind w:left="220"/>
        <w:spacing w:after="0"/>
        <w:rPr>
          <w:sz w:val="20"/>
          <w:szCs w:val="20"/>
          <w:color w:val="auto"/>
        </w:rPr>
      </w:pPr>
      <w:r>
        <w:rPr>
          <w:rFonts w:ascii="Calibri" w:cs="Calibri" w:eastAsia="Calibri" w:hAnsi="Calibri"/>
          <w:sz w:val="14"/>
          <w:szCs w:val="14"/>
          <w:b w:val="1"/>
          <w:bCs w:val="1"/>
          <w:color w:val="auto"/>
        </w:rPr>
        <w:t>Votng the Preferred Stock</w:t>
      </w:r>
    </w:p>
    <w:p>
      <w:pPr>
        <w:spacing w:after="0" w:line="85" w:lineRule="exact"/>
        <w:rPr>
          <w:sz w:val="20"/>
          <w:szCs w:val="20"/>
          <w:color w:val="auto"/>
        </w:rPr>
      </w:pPr>
    </w:p>
    <w:p>
      <w:pPr>
        <w:ind w:left="220" w:right="279" w:firstLine="343"/>
        <w:spacing w:after="0" w:line="235" w:lineRule="auto"/>
        <w:rPr>
          <w:sz w:val="20"/>
          <w:szCs w:val="20"/>
          <w:color w:val="auto"/>
        </w:rPr>
      </w:pPr>
      <w:r>
        <w:rPr>
          <w:rFonts w:ascii="Calibri" w:cs="Calibri" w:eastAsia="Calibri" w:hAnsi="Calibri"/>
          <w:sz w:val="14"/>
          <w:szCs w:val="14"/>
          <w:color w:val="auto"/>
        </w:rPr>
        <w:t>Upon receipt of notce of any meetng at which the holders of the preferred stock are enttled to vote, the depositary will mail the informaton contained in the notce of meetng to the record holders of the depositary receipts relatng to that preferred stock. The record date for the depositary receipts relatng to the preferred stock will be the same date as the record date for the preferred stock. Each record holder of the depositary shares on the record date will be enttled to instruct the depositary as to the exercise of the votng rights pertaining to the number of shares of preferred stock represented by that holder’s depositary shares. The depositary will endeavor, insofar as practcable, to vote the number of shares of preferred stock represented by the depositary shares in accordance with those instructons, and we will agree to take all acton that may be deemed necessary by the depositary in order to enable the depositary to do so. The depositary will not vote any shares of preferred stock except to the extent that it receives specifc instructons from the holders of depositary shares representng that number of shares of preferred stock.</w:t>
      </w:r>
    </w:p>
    <w:p>
      <w:pPr>
        <w:spacing w:after="0" w:line="254" w:lineRule="exact"/>
        <w:rPr>
          <w:sz w:val="20"/>
          <w:szCs w:val="20"/>
          <w:color w:val="auto"/>
        </w:rPr>
      </w:pPr>
    </w:p>
    <w:p>
      <w:pPr>
        <w:ind w:left="220"/>
        <w:spacing w:after="0"/>
        <w:rPr>
          <w:sz w:val="20"/>
          <w:szCs w:val="20"/>
          <w:color w:val="auto"/>
        </w:rPr>
      </w:pPr>
      <w:r>
        <w:rPr>
          <w:rFonts w:ascii="Calibri" w:cs="Calibri" w:eastAsia="Calibri" w:hAnsi="Calibri"/>
          <w:sz w:val="14"/>
          <w:szCs w:val="14"/>
          <w:b w:val="1"/>
          <w:bCs w:val="1"/>
          <w:color w:val="auto"/>
        </w:rPr>
        <w:t>Charges of the Depositary</w:t>
      </w:r>
    </w:p>
    <w:p>
      <w:pPr>
        <w:spacing w:after="0" w:line="85" w:lineRule="exact"/>
        <w:rPr>
          <w:sz w:val="20"/>
          <w:szCs w:val="20"/>
          <w:color w:val="auto"/>
        </w:rPr>
      </w:pPr>
    </w:p>
    <w:p>
      <w:pPr>
        <w:ind w:left="220" w:right="419" w:firstLine="343"/>
        <w:spacing w:after="0" w:line="235" w:lineRule="auto"/>
        <w:rPr>
          <w:sz w:val="20"/>
          <w:szCs w:val="20"/>
          <w:color w:val="auto"/>
        </w:rPr>
      </w:pPr>
      <w:r>
        <w:rPr>
          <w:rFonts w:ascii="Calibri" w:cs="Calibri" w:eastAsia="Calibri" w:hAnsi="Calibri"/>
          <w:sz w:val="14"/>
          <w:szCs w:val="14"/>
          <w:color w:val="auto"/>
        </w:rPr>
        <w:t>We will pay all transfer and other taxes and governmental charges arising solely from the existence of the depositary arrangements. We will pay charges of the depositary in connecton with the inital deposit of the preferred stock and any redempton of the preferred stock. Holders of depositary receipts will pay transfer, income and other taxes and governmental charges and such other charges (including those in connecton with the receipt and distributon of dividends, the sale or exercise of rights, the withdrawal of the preferred stock and the transferring, splitng or grouping of depositary receipts) as are expressly provided in the deposit agreement to be for their accounts. If these charges have not been paid by the holders of depositary receipts, the depositary may refuse to transfer depositary shares, withhold dividends and distributons and sell the depositary shares evidenced by the depositary receipt.</w:t>
      </w:r>
    </w:p>
    <w:p>
      <w:pPr>
        <w:spacing w:after="0" w:line="253" w:lineRule="exact"/>
        <w:rPr>
          <w:sz w:val="20"/>
          <w:szCs w:val="20"/>
          <w:color w:val="auto"/>
        </w:rPr>
      </w:pPr>
    </w:p>
    <w:p>
      <w:pPr>
        <w:ind w:left="220"/>
        <w:spacing w:after="0"/>
        <w:rPr>
          <w:sz w:val="20"/>
          <w:szCs w:val="20"/>
          <w:color w:val="auto"/>
        </w:rPr>
      </w:pPr>
      <w:r>
        <w:rPr>
          <w:rFonts w:ascii="Calibri" w:cs="Calibri" w:eastAsia="Calibri" w:hAnsi="Calibri"/>
          <w:sz w:val="14"/>
          <w:szCs w:val="14"/>
          <w:b w:val="1"/>
          <w:bCs w:val="1"/>
          <w:color w:val="auto"/>
        </w:rPr>
        <w:t>Amendment and Terminaton of the Deposit Agreement</w:t>
      </w:r>
    </w:p>
    <w:p>
      <w:pPr>
        <w:spacing w:after="0" w:line="85" w:lineRule="exact"/>
        <w:rPr>
          <w:sz w:val="20"/>
          <w:szCs w:val="20"/>
          <w:color w:val="auto"/>
        </w:rPr>
      </w:pPr>
    </w:p>
    <w:p>
      <w:pPr>
        <w:ind w:left="220" w:right="419" w:firstLine="343"/>
        <w:spacing w:after="0" w:line="235" w:lineRule="auto"/>
        <w:rPr>
          <w:sz w:val="20"/>
          <w:szCs w:val="20"/>
          <w:color w:val="auto"/>
        </w:rPr>
      </w:pPr>
      <w:r>
        <w:rPr>
          <w:rFonts w:ascii="Calibri" w:cs="Calibri" w:eastAsia="Calibri" w:hAnsi="Calibri"/>
          <w:sz w:val="14"/>
          <w:szCs w:val="14"/>
          <w:color w:val="auto"/>
        </w:rPr>
        <w:t>The form of depositary receipt evidencing the depositary shares and any provision of the deposit agreement may be amended by agreement between us and the depositary. However, any amendment that materially and adversely alters the rights of the holders of depositary shares, other than fee changes, will not be</w:t>
      </w:r>
    </w:p>
    <w:p>
      <w:pPr>
        <w:spacing w:after="0" w:line="114" w:lineRule="exact"/>
        <w:rPr>
          <w:sz w:val="20"/>
          <w:szCs w:val="20"/>
          <w:color w:val="auto"/>
        </w:rPr>
      </w:pPr>
    </w:p>
    <w:p>
      <w:pPr>
        <w:jc w:val="center"/>
        <w:spacing w:after="0"/>
        <w:rPr>
          <w:sz w:val="20"/>
          <w:szCs w:val="20"/>
          <w:color w:val="auto"/>
        </w:rPr>
      </w:pPr>
      <w:r>
        <w:rPr>
          <w:rFonts w:ascii="Calibri" w:cs="Calibri" w:eastAsia="Calibri" w:hAnsi="Calibri"/>
          <w:sz w:val="14"/>
          <w:szCs w:val="14"/>
          <w:color w:val="auto"/>
        </w:rPr>
        <w:t>-18-</w:t>
      </w:r>
    </w:p>
    <w:p>
      <w:pPr>
        <w:sectPr>
          <w:pgSz w:w="11900" w:h="16838" w:orient="portrait"/>
          <w:cols w:equalWidth="0" w:num="1">
            <w:col w:w="9019"/>
          </w:cols>
          <w:pgMar w:left="1440" w:top="238" w:right="1440" w:bottom="1440" w:gutter="0" w:footer="0" w:header="0"/>
        </w:sectPr>
      </w:pPr>
    </w:p>
    <w:bookmarkStart w:id="61" w:name="page62"/>
    <w:bookmarkEnd w:id="61"/>
    <w:p>
      <w:pPr>
        <w:ind w:left="220" w:right="519"/>
        <w:spacing w:after="0" w:line="235" w:lineRule="auto"/>
        <w:rPr>
          <w:sz w:val="20"/>
          <w:szCs w:val="20"/>
          <w:color w:val="auto"/>
        </w:rPr>
      </w:pPr>
      <w:r>
        <w:rPr>
          <w:rFonts w:ascii="Calibri" w:cs="Calibri" w:eastAsia="Calibri" w:hAnsi="Calibri"/>
          <w:sz w:val="14"/>
          <w:szCs w:val="14"/>
          <w:color w:val="auto"/>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9">
                      <a:extLst>
                        <a:ext uri="{28A0092B-C50C-407E-A947-70E740481C1C}"/>
                      </a:extLst>
                    </a:blip>
                    <a:srcRect/>
                    <a:stretch>
                      <a:fillRect/>
                    </a:stretch>
                  </pic:blipFill>
                  <pic:spPr bwMode="auto">
                    <a:xfrm>
                      <a:off x="0" y="0"/>
                      <a:ext cx="7201535" cy="33020"/>
                    </a:xfrm>
                    <a:prstGeom prst="rect">
                      <a:avLst/>
                    </a:prstGeom>
                    <a:noFill/>
                  </pic:spPr>
                </pic:pic>
              </a:graphicData>
            </a:graphic>
          </wp:anchor>
        </w:drawing>
        <w:t>efectve unless the amendment has been approved by the holders of a majority of the outstanding depositary shares. The deposit agreement may be terminated by the depositary or us only if:</w:t>
      </w:r>
    </w:p>
    <w:p>
      <w:pPr>
        <w:spacing w:after="0" w:line="92" w:lineRule="exact"/>
        <w:rPr>
          <w:sz w:val="20"/>
          <w:szCs w:val="20"/>
          <w:color w:val="auto"/>
        </w:rPr>
      </w:pPr>
    </w:p>
    <w:p>
      <w:pPr>
        <w:ind w:left="980" w:hanging="341"/>
        <w:spacing w:after="0"/>
        <w:tabs>
          <w:tab w:leader="none" w:pos="980" w:val="left"/>
        </w:tabs>
        <w:numPr>
          <w:ilvl w:val="0"/>
          <w:numId w:val="36"/>
        </w:numPr>
        <w:rPr>
          <w:rFonts w:ascii="Calibri" w:cs="Calibri" w:eastAsia="Calibri" w:hAnsi="Calibri"/>
          <w:sz w:val="14"/>
          <w:szCs w:val="14"/>
          <w:color w:val="auto"/>
        </w:rPr>
      </w:pPr>
      <w:r>
        <w:rPr>
          <w:rFonts w:ascii="Calibri" w:cs="Calibri" w:eastAsia="Calibri" w:hAnsi="Calibri"/>
          <w:sz w:val="14"/>
          <w:szCs w:val="14"/>
          <w:color w:val="auto"/>
        </w:rPr>
        <w:t>all outstanding depositary shares have been redeemed; or</w:t>
      </w:r>
    </w:p>
    <w:p>
      <w:pPr>
        <w:spacing w:after="0" w:line="95" w:lineRule="exact"/>
        <w:rPr>
          <w:rFonts w:ascii="Calibri" w:cs="Calibri" w:eastAsia="Calibri" w:hAnsi="Calibri"/>
          <w:sz w:val="14"/>
          <w:szCs w:val="14"/>
          <w:color w:val="auto"/>
        </w:rPr>
      </w:pPr>
    </w:p>
    <w:p>
      <w:pPr>
        <w:ind w:left="980" w:right="419" w:hanging="341"/>
        <w:spacing w:after="0" w:line="235" w:lineRule="auto"/>
        <w:tabs>
          <w:tab w:leader="none" w:pos="980" w:val="left"/>
        </w:tabs>
        <w:numPr>
          <w:ilvl w:val="0"/>
          <w:numId w:val="36"/>
        </w:numPr>
        <w:rPr>
          <w:rFonts w:ascii="Calibri" w:cs="Calibri" w:eastAsia="Calibri" w:hAnsi="Calibri"/>
          <w:sz w:val="14"/>
          <w:szCs w:val="14"/>
          <w:color w:val="auto"/>
        </w:rPr>
      </w:pPr>
      <w:r>
        <w:rPr>
          <w:rFonts w:ascii="Calibri" w:cs="Calibri" w:eastAsia="Calibri" w:hAnsi="Calibri"/>
          <w:sz w:val="14"/>
          <w:szCs w:val="14"/>
          <w:color w:val="auto"/>
        </w:rPr>
        <w:t>there has been a fnal distributon of the preferred stock in connecton with our dissoluton and such distributon has been made to all the holders of depositary shares.</w:t>
      </w:r>
    </w:p>
    <w:p>
      <w:pPr>
        <w:spacing w:after="0" w:line="250" w:lineRule="exact"/>
        <w:rPr>
          <w:sz w:val="20"/>
          <w:szCs w:val="20"/>
          <w:color w:val="auto"/>
        </w:rPr>
      </w:pPr>
    </w:p>
    <w:p>
      <w:pPr>
        <w:ind w:left="220"/>
        <w:spacing w:after="0"/>
        <w:rPr>
          <w:sz w:val="20"/>
          <w:szCs w:val="20"/>
          <w:color w:val="auto"/>
        </w:rPr>
      </w:pPr>
      <w:r>
        <w:rPr>
          <w:rFonts w:ascii="Calibri" w:cs="Calibri" w:eastAsia="Calibri" w:hAnsi="Calibri"/>
          <w:sz w:val="14"/>
          <w:szCs w:val="14"/>
          <w:b w:val="1"/>
          <w:bCs w:val="1"/>
          <w:color w:val="auto"/>
        </w:rPr>
        <w:t>Resignaton and Removal of Depositary</w:t>
      </w:r>
    </w:p>
    <w:p>
      <w:pPr>
        <w:spacing w:after="0" w:line="85" w:lineRule="exact"/>
        <w:rPr>
          <w:sz w:val="20"/>
          <w:szCs w:val="20"/>
          <w:color w:val="auto"/>
        </w:rPr>
      </w:pPr>
    </w:p>
    <w:p>
      <w:pPr>
        <w:ind w:left="220" w:right="319" w:firstLine="343"/>
        <w:spacing w:after="0" w:line="235" w:lineRule="auto"/>
        <w:rPr>
          <w:sz w:val="20"/>
          <w:szCs w:val="20"/>
          <w:color w:val="auto"/>
        </w:rPr>
      </w:pPr>
      <w:r>
        <w:rPr>
          <w:rFonts w:ascii="Calibri" w:cs="Calibri" w:eastAsia="Calibri" w:hAnsi="Calibri"/>
          <w:sz w:val="14"/>
          <w:szCs w:val="14"/>
          <w:color w:val="auto"/>
        </w:rPr>
        <w:t>The depositary may resign at any tme by delivering to us notce of its electon to do so, and we may remove the depositary at any tme. Any resignaton or removal of the depositary will take efect upon our appointment of a successor depositary and its acceptance of such appointment. The successor depositary must be appointed within 60 days afer delivery of the notce of resignaton or removal and must be a bank or trust company having its principal ofce in the United States and having the requisite combined capital and surplus as set forth in the applicable agreement.</w:t>
      </w:r>
    </w:p>
    <w:p>
      <w:pPr>
        <w:spacing w:after="0" w:line="251" w:lineRule="exact"/>
        <w:rPr>
          <w:sz w:val="20"/>
          <w:szCs w:val="20"/>
          <w:color w:val="auto"/>
        </w:rPr>
      </w:pPr>
    </w:p>
    <w:p>
      <w:pPr>
        <w:ind w:left="220"/>
        <w:spacing w:after="0"/>
        <w:rPr>
          <w:sz w:val="20"/>
          <w:szCs w:val="20"/>
          <w:color w:val="auto"/>
        </w:rPr>
      </w:pPr>
      <w:r>
        <w:rPr>
          <w:rFonts w:ascii="Calibri" w:cs="Calibri" w:eastAsia="Calibri" w:hAnsi="Calibri"/>
          <w:sz w:val="14"/>
          <w:szCs w:val="14"/>
          <w:b w:val="1"/>
          <w:bCs w:val="1"/>
          <w:color w:val="auto"/>
        </w:rPr>
        <w:t>Notces</w:t>
      </w:r>
    </w:p>
    <w:p>
      <w:pPr>
        <w:spacing w:after="0" w:line="85" w:lineRule="exact"/>
        <w:rPr>
          <w:sz w:val="20"/>
          <w:szCs w:val="20"/>
          <w:color w:val="auto"/>
        </w:rPr>
      </w:pPr>
    </w:p>
    <w:p>
      <w:pPr>
        <w:ind w:left="220" w:right="279" w:firstLine="343"/>
        <w:spacing w:after="0" w:line="235" w:lineRule="auto"/>
        <w:rPr>
          <w:sz w:val="20"/>
          <w:szCs w:val="20"/>
          <w:color w:val="auto"/>
        </w:rPr>
      </w:pPr>
      <w:r>
        <w:rPr>
          <w:rFonts w:ascii="Calibri" w:cs="Calibri" w:eastAsia="Calibri" w:hAnsi="Calibri"/>
          <w:sz w:val="14"/>
          <w:szCs w:val="14"/>
          <w:color w:val="auto"/>
        </w:rPr>
        <w:t>The depositary will forward to holders of depositary receipts all notces, reports and other communicatons, including proxy solicitaton materials received from us, that are delivered to the depositary and that we are required to furnish to the holders of the preferred stock. In additon, the depositary will make available for inspecton by holders of depositary receipts at the principal ofce of the depositary, and at such other places as it may from tme to tme deem advisable, any reports and communicatons we deliver to the depositary as the holder of preferred stock.</w:t>
      </w:r>
    </w:p>
    <w:p>
      <w:pPr>
        <w:spacing w:after="0" w:line="251" w:lineRule="exact"/>
        <w:rPr>
          <w:sz w:val="20"/>
          <w:szCs w:val="20"/>
          <w:color w:val="auto"/>
        </w:rPr>
      </w:pPr>
    </w:p>
    <w:p>
      <w:pPr>
        <w:ind w:left="220"/>
        <w:spacing w:after="0"/>
        <w:rPr>
          <w:sz w:val="20"/>
          <w:szCs w:val="20"/>
          <w:color w:val="auto"/>
        </w:rPr>
      </w:pPr>
      <w:r>
        <w:rPr>
          <w:rFonts w:ascii="Calibri" w:cs="Calibri" w:eastAsia="Calibri" w:hAnsi="Calibri"/>
          <w:sz w:val="14"/>
          <w:szCs w:val="14"/>
          <w:b w:val="1"/>
          <w:bCs w:val="1"/>
          <w:color w:val="auto"/>
        </w:rPr>
        <w:t>Limitaton of Liability</w:t>
      </w:r>
    </w:p>
    <w:p>
      <w:pPr>
        <w:spacing w:after="0" w:line="85" w:lineRule="exact"/>
        <w:rPr>
          <w:sz w:val="20"/>
          <w:szCs w:val="20"/>
          <w:color w:val="auto"/>
        </w:rPr>
      </w:pPr>
    </w:p>
    <w:p>
      <w:pPr>
        <w:ind w:left="220" w:right="259" w:firstLine="343"/>
        <w:spacing w:after="0" w:line="235" w:lineRule="auto"/>
        <w:rPr>
          <w:sz w:val="20"/>
          <w:szCs w:val="20"/>
          <w:color w:val="auto"/>
        </w:rPr>
      </w:pPr>
      <w:r>
        <w:rPr>
          <w:rFonts w:ascii="Calibri" w:cs="Calibri" w:eastAsia="Calibri" w:hAnsi="Calibri"/>
          <w:sz w:val="14"/>
          <w:szCs w:val="14"/>
          <w:color w:val="auto"/>
        </w:rPr>
        <w:t>Neither we nor the depositary will be liable if either is prevented or delayed by law or any circumstance beyond its control in performing its obligatons. Our obligatons and those of the depositary will be limited to performance in good faith of our and its dutes thereunder. We and the depositary will not be obligated to prosecute or defend any legal proceeding in respect of any depositary shares or preferred stock unless satsfactory indemnity is furnished. We and the depositary may rely upon writen advice of counsel or accountants, on informaton provided by persons presentng preferred stock for deposit, holders of depositary receipts or other persons believed to be competent to give such informaton and on documents believed to be genuine and to have been signed or presented by the proper party or partes.</w:t>
      </w:r>
    </w:p>
    <w:p>
      <w:pPr>
        <w:spacing w:after="0" w:line="116" w:lineRule="exact"/>
        <w:rPr>
          <w:sz w:val="20"/>
          <w:szCs w:val="20"/>
          <w:color w:val="auto"/>
        </w:rPr>
      </w:pPr>
    </w:p>
    <w:p>
      <w:pPr>
        <w:jc w:val="center"/>
        <w:spacing w:after="0"/>
        <w:rPr>
          <w:sz w:val="20"/>
          <w:szCs w:val="20"/>
          <w:color w:val="auto"/>
        </w:rPr>
      </w:pPr>
      <w:r>
        <w:rPr>
          <w:rFonts w:ascii="Calibri" w:cs="Calibri" w:eastAsia="Calibri" w:hAnsi="Calibri"/>
          <w:sz w:val="14"/>
          <w:szCs w:val="14"/>
          <w:color w:val="auto"/>
        </w:rPr>
        <w:t>-19-</w:t>
      </w:r>
    </w:p>
    <w:p>
      <w:pPr>
        <w:sectPr>
          <w:pgSz w:w="11900" w:h="16838" w:orient="portrait"/>
          <w:cols w:equalWidth="0" w:num="1">
            <w:col w:w="9019"/>
          </w:cols>
          <w:pgMar w:left="1440" w:top="238" w:right="1440" w:bottom="1440" w:gutter="0" w:footer="0" w:header="0"/>
        </w:sectPr>
      </w:pPr>
    </w:p>
    <w:bookmarkStart w:id="62" w:name="page63"/>
    <w:bookmarkEnd w:id="62"/>
    <w:p>
      <w:pPr>
        <w:jc w:val="center"/>
        <w:ind w:right="19"/>
        <w:spacing w:after="0"/>
        <w:rPr>
          <w:sz w:val="20"/>
          <w:szCs w:val="20"/>
          <w:color w:val="auto"/>
        </w:rPr>
      </w:pPr>
      <w:r>
        <w:rPr>
          <w:rFonts w:ascii="Calibri" w:cs="Calibri" w:eastAsia="Calibri" w:hAnsi="Calibri"/>
          <w:sz w:val="14"/>
          <w:szCs w:val="14"/>
          <w:b w:val="1"/>
          <w:bCs w:val="1"/>
          <w:color w:val="auto"/>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90">
                      <a:extLst>
                        <a:ext uri="{28A0092B-C50C-407E-A947-70E740481C1C}"/>
                      </a:extLst>
                    </a:blip>
                    <a:srcRect/>
                    <a:stretch>
                      <a:fillRect/>
                    </a:stretch>
                  </pic:blipFill>
                  <pic:spPr bwMode="auto">
                    <a:xfrm>
                      <a:off x="0" y="0"/>
                      <a:ext cx="7201535" cy="33020"/>
                    </a:xfrm>
                    <a:prstGeom prst="rect">
                      <a:avLst/>
                    </a:prstGeom>
                    <a:noFill/>
                  </pic:spPr>
                </pic:pic>
              </a:graphicData>
            </a:graphic>
          </wp:anchor>
        </w:drawing>
        <w:t>DESCRIPTION OF WARRANTS</w:t>
      </w:r>
    </w:p>
    <w:p>
      <w:pPr>
        <w:spacing w:after="0" w:line="169" w:lineRule="exact"/>
        <w:rPr>
          <w:sz w:val="20"/>
          <w:szCs w:val="20"/>
          <w:color w:val="auto"/>
        </w:rPr>
      </w:pPr>
    </w:p>
    <w:p>
      <w:pPr>
        <w:ind w:left="220" w:right="419" w:firstLine="343"/>
        <w:spacing w:after="0" w:line="235" w:lineRule="auto"/>
        <w:rPr>
          <w:sz w:val="20"/>
          <w:szCs w:val="20"/>
          <w:color w:val="auto"/>
        </w:rPr>
      </w:pPr>
      <w:r>
        <w:rPr>
          <w:rFonts w:ascii="Calibri" w:cs="Calibri" w:eastAsia="Calibri" w:hAnsi="Calibri"/>
          <w:sz w:val="14"/>
          <w:szCs w:val="14"/>
          <w:color w:val="auto"/>
        </w:rPr>
        <w:t>We may ofer warrants to purchase debt securites, preferred stock, depositary shares or common stock. We may ofer warrants separately or together with one or more additonal warrants, debt securites, preferred stock, depositary shares or common stock, or any combinaton of those securites in the form of units, as described in the applicable prospectus supplement. If we issue warrants as part of a unit, the applicable prospectus supplement will specify whether those warrants may be separated from the other securites in the unit prior to the expiraton date of the warrants. The applicable prospectus supplement will also describe the following terms of any warrants:</w:t>
      </w:r>
    </w:p>
    <w:p>
      <w:pPr>
        <w:spacing w:after="0" w:line="94" w:lineRule="exact"/>
        <w:rPr>
          <w:sz w:val="20"/>
          <w:szCs w:val="20"/>
          <w:color w:val="auto"/>
        </w:rPr>
      </w:pPr>
    </w:p>
    <w:p>
      <w:pPr>
        <w:ind w:left="980" w:hanging="341"/>
        <w:spacing w:after="0"/>
        <w:tabs>
          <w:tab w:leader="none" w:pos="980" w:val="left"/>
        </w:tabs>
        <w:numPr>
          <w:ilvl w:val="0"/>
          <w:numId w:val="37"/>
        </w:numPr>
        <w:rPr>
          <w:rFonts w:ascii="Calibri" w:cs="Calibri" w:eastAsia="Calibri" w:hAnsi="Calibri"/>
          <w:sz w:val="14"/>
          <w:szCs w:val="14"/>
          <w:color w:val="auto"/>
        </w:rPr>
      </w:pPr>
      <w:r>
        <w:rPr>
          <w:rFonts w:ascii="Calibri" w:cs="Calibri" w:eastAsia="Calibri" w:hAnsi="Calibri"/>
          <w:sz w:val="14"/>
          <w:szCs w:val="14"/>
          <w:color w:val="auto"/>
        </w:rPr>
        <w:t>the specifc designaton and aggregate number of, and the ofering price at which we will issue, the warrants;</w:t>
      </w:r>
    </w:p>
    <w:p>
      <w:pPr>
        <w:spacing w:after="0" w:line="91" w:lineRule="exact"/>
        <w:rPr>
          <w:rFonts w:ascii="Calibri" w:cs="Calibri" w:eastAsia="Calibri" w:hAnsi="Calibri"/>
          <w:sz w:val="14"/>
          <w:szCs w:val="14"/>
          <w:color w:val="auto"/>
        </w:rPr>
      </w:pPr>
    </w:p>
    <w:p>
      <w:pPr>
        <w:ind w:left="980" w:hanging="341"/>
        <w:spacing w:after="0"/>
        <w:tabs>
          <w:tab w:leader="none" w:pos="980" w:val="left"/>
        </w:tabs>
        <w:numPr>
          <w:ilvl w:val="0"/>
          <w:numId w:val="37"/>
        </w:numPr>
        <w:rPr>
          <w:rFonts w:ascii="Calibri" w:cs="Calibri" w:eastAsia="Calibri" w:hAnsi="Calibri"/>
          <w:sz w:val="14"/>
          <w:szCs w:val="14"/>
          <w:color w:val="auto"/>
        </w:rPr>
      </w:pPr>
      <w:r>
        <w:rPr>
          <w:rFonts w:ascii="Calibri" w:cs="Calibri" w:eastAsia="Calibri" w:hAnsi="Calibri"/>
          <w:sz w:val="14"/>
          <w:szCs w:val="14"/>
          <w:color w:val="auto"/>
        </w:rPr>
        <w:t>the currency or currency units in which the ofering price, if any, and the exercise price are payable;</w:t>
      </w:r>
    </w:p>
    <w:p>
      <w:pPr>
        <w:spacing w:after="0" w:line="95" w:lineRule="exact"/>
        <w:rPr>
          <w:rFonts w:ascii="Calibri" w:cs="Calibri" w:eastAsia="Calibri" w:hAnsi="Calibri"/>
          <w:sz w:val="14"/>
          <w:szCs w:val="14"/>
          <w:color w:val="auto"/>
        </w:rPr>
      </w:pPr>
    </w:p>
    <w:p>
      <w:pPr>
        <w:ind w:left="980" w:right="459" w:hanging="341"/>
        <w:spacing w:after="0" w:line="235" w:lineRule="auto"/>
        <w:tabs>
          <w:tab w:leader="none" w:pos="980" w:val="left"/>
        </w:tabs>
        <w:numPr>
          <w:ilvl w:val="0"/>
          <w:numId w:val="37"/>
        </w:numPr>
        <w:rPr>
          <w:rFonts w:ascii="Calibri" w:cs="Calibri" w:eastAsia="Calibri" w:hAnsi="Calibri"/>
          <w:sz w:val="14"/>
          <w:szCs w:val="14"/>
          <w:color w:val="auto"/>
        </w:rPr>
      </w:pPr>
      <w:r>
        <w:rPr>
          <w:rFonts w:ascii="Calibri" w:cs="Calibri" w:eastAsia="Calibri" w:hAnsi="Calibri"/>
          <w:sz w:val="14"/>
          <w:szCs w:val="14"/>
          <w:color w:val="auto"/>
        </w:rPr>
        <w:t>the date on which the right to exercise the warrants will begin and the date on which that right will expire or, if you may not contnuously exercise the warrants throughout that period, the specifc date or dates on which you may exercise the warrants;</w:t>
      </w:r>
    </w:p>
    <w:p>
      <w:pPr>
        <w:spacing w:after="0" w:line="92" w:lineRule="exact"/>
        <w:rPr>
          <w:rFonts w:ascii="Calibri" w:cs="Calibri" w:eastAsia="Calibri" w:hAnsi="Calibri"/>
          <w:sz w:val="14"/>
          <w:szCs w:val="14"/>
          <w:color w:val="auto"/>
        </w:rPr>
      </w:pPr>
    </w:p>
    <w:p>
      <w:pPr>
        <w:ind w:left="980" w:hanging="341"/>
        <w:spacing w:after="0"/>
        <w:tabs>
          <w:tab w:leader="none" w:pos="980" w:val="left"/>
        </w:tabs>
        <w:numPr>
          <w:ilvl w:val="0"/>
          <w:numId w:val="37"/>
        </w:numPr>
        <w:rPr>
          <w:rFonts w:ascii="Calibri" w:cs="Calibri" w:eastAsia="Calibri" w:hAnsi="Calibri"/>
          <w:sz w:val="14"/>
          <w:szCs w:val="14"/>
          <w:color w:val="auto"/>
        </w:rPr>
      </w:pPr>
      <w:r>
        <w:rPr>
          <w:rFonts w:ascii="Calibri" w:cs="Calibri" w:eastAsia="Calibri" w:hAnsi="Calibri"/>
          <w:sz w:val="14"/>
          <w:szCs w:val="14"/>
          <w:color w:val="auto"/>
        </w:rPr>
        <w:t>whether the warrants are to be sold separately or with other securites as parts of units;</w:t>
      </w:r>
    </w:p>
    <w:p>
      <w:pPr>
        <w:spacing w:after="0" w:line="95" w:lineRule="exact"/>
        <w:rPr>
          <w:rFonts w:ascii="Calibri" w:cs="Calibri" w:eastAsia="Calibri" w:hAnsi="Calibri"/>
          <w:sz w:val="14"/>
          <w:szCs w:val="14"/>
          <w:color w:val="auto"/>
        </w:rPr>
      </w:pPr>
    </w:p>
    <w:p>
      <w:pPr>
        <w:ind w:left="980" w:right="479" w:hanging="341"/>
        <w:spacing w:after="0" w:line="235" w:lineRule="auto"/>
        <w:tabs>
          <w:tab w:leader="none" w:pos="980" w:val="left"/>
        </w:tabs>
        <w:numPr>
          <w:ilvl w:val="0"/>
          <w:numId w:val="37"/>
        </w:numPr>
        <w:rPr>
          <w:rFonts w:ascii="Calibri" w:cs="Calibri" w:eastAsia="Calibri" w:hAnsi="Calibri"/>
          <w:sz w:val="14"/>
          <w:szCs w:val="14"/>
          <w:color w:val="auto"/>
        </w:rPr>
      </w:pPr>
      <w:r>
        <w:rPr>
          <w:rFonts w:ascii="Calibri" w:cs="Calibri" w:eastAsia="Calibri" w:hAnsi="Calibri"/>
          <w:sz w:val="14"/>
          <w:szCs w:val="14"/>
          <w:color w:val="auto"/>
        </w:rPr>
        <w:t>whether the warrants will be issued in defnitve or global form or in any combinaton of these forms, although, in any case, the form of a warrant included in a unit will correspond to the form of the unit and of any security included in that unit;</w:t>
      </w:r>
    </w:p>
    <w:p>
      <w:pPr>
        <w:spacing w:after="0" w:line="92" w:lineRule="exact"/>
        <w:rPr>
          <w:rFonts w:ascii="Calibri" w:cs="Calibri" w:eastAsia="Calibri" w:hAnsi="Calibri"/>
          <w:sz w:val="14"/>
          <w:szCs w:val="14"/>
          <w:color w:val="auto"/>
        </w:rPr>
      </w:pPr>
    </w:p>
    <w:p>
      <w:pPr>
        <w:ind w:left="980" w:hanging="341"/>
        <w:spacing w:after="0"/>
        <w:tabs>
          <w:tab w:leader="none" w:pos="980" w:val="left"/>
        </w:tabs>
        <w:numPr>
          <w:ilvl w:val="0"/>
          <w:numId w:val="37"/>
        </w:numPr>
        <w:rPr>
          <w:rFonts w:ascii="Calibri" w:cs="Calibri" w:eastAsia="Calibri" w:hAnsi="Calibri"/>
          <w:sz w:val="14"/>
          <w:szCs w:val="14"/>
          <w:color w:val="auto"/>
        </w:rPr>
      </w:pPr>
      <w:r>
        <w:rPr>
          <w:rFonts w:ascii="Calibri" w:cs="Calibri" w:eastAsia="Calibri" w:hAnsi="Calibri"/>
          <w:sz w:val="14"/>
          <w:szCs w:val="14"/>
          <w:color w:val="auto"/>
        </w:rPr>
        <w:t>any applicable material U.S. federal income tax consequences;</w:t>
      </w:r>
    </w:p>
    <w:p>
      <w:pPr>
        <w:spacing w:after="0" w:line="95" w:lineRule="exact"/>
        <w:rPr>
          <w:rFonts w:ascii="Calibri" w:cs="Calibri" w:eastAsia="Calibri" w:hAnsi="Calibri"/>
          <w:sz w:val="14"/>
          <w:szCs w:val="14"/>
          <w:color w:val="auto"/>
        </w:rPr>
      </w:pPr>
    </w:p>
    <w:p>
      <w:pPr>
        <w:ind w:left="980" w:right="479" w:hanging="341"/>
        <w:spacing w:after="0" w:line="235" w:lineRule="auto"/>
        <w:tabs>
          <w:tab w:leader="none" w:pos="980" w:val="left"/>
        </w:tabs>
        <w:numPr>
          <w:ilvl w:val="0"/>
          <w:numId w:val="37"/>
        </w:numPr>
        <w:rPr>
          <w:rFonts w:ascii="Calibri" w:cs="Calibri" w:eastAsia="Calibri" w:hAnsi="Calibri"/>
          <w:sz w:val="14"/>
          <w:szCs w:val="14"/>
          <w:color w:val="auto"/>
        </w:rPr>
      </w:pPr>
      <w:r>
        <w:rPr>
          <w:rFonts w:ascii="Calibri" w:cs="Calibri" w:eastAsia="Calibri" w:hAnsi="Calibri"/>
          <w:sz w:val="14"/>
          <w:szCs w:val="14"/>
          <w:color w:val="auto"/>
        </w:rPr>
        <w:t>the identty of the warrant agent for the warrants and of any other depositaries, executon or paying agents, transfer agents, registrars or other agents;</w:t>
      </w:r>
    </w:p>
    <w:p>
      <w:pPr>
        <w:spacing w:after="0" w:line="92" w:lineRule="exact"/>
        <w:rPr>
          <w:rFonts w:ascii="Calibri" w:cs="Calibri" w:eastAsia="Calibri" w:hAnsi="Calibri"/>
          <w:sz w:val="14"/>
          <w:szCs w:val="14"/>
          <w:color w:val="auto"/>
        </w:rPr>
      </w:pPr>
    </w:p>
    <w:p>
      <w:pPr>
        <w:ind w:left="980" w:hanging="341"/>
        <w:spacing w:after="0"/>
        <w:tabs>
          <w:tab w:leader="none" w:pos="980" w:val="left"/>
        </w:tabs>
        <w:numPr>
          <w:ilvl w:val="0"/>
          <w:numId w:val="37"/>
        </w:numPr>
        <w:rPr>
          <w:rFonts w:ascii="Calibri" w:cs="Calibri" w:eastAsia="Calibri" w:hAnsi="Calibri"/>
          <w:sz w:val="14"/>
          <w:szCs w:val="14"/>
          <w:color w:val="auto"/>
        </w:rPr>
      </w:pPr>
      <w:r>
        <w:rPr>
          <w:rFonts w:ascii="Calibri" w:cs="Calibri" w:eastAsia="Calibri" w:hAnsi="Calibri"/>
          <w:sz w:val="14"/>
          <w:szCs w:val="14"/>
          <w:color w:val="auto"/>
        </w:rPr>
        <w:t>the proposed listng, if any, of the warrants or any securites purchasable upon exercise of the warrants on any securites exchange;</w:t>
      </w:r>
    </w:p>
    <w:p>
      <w:pPr>
        <w:spacing w:after="0" w:line="91" w:lineRule="exact"/>
        <w:rPr>
          <w:rFonts w:ascii="Calibri" w:cs="Calibri" w:eastAsia="Calibri" w:hAnsi="Calibri"/>
          <w:sz w:val="14"/>
          <w:szCs w:val="14"/>
          <w:color w:val="auto"/>
        </w:rPr>
      </w:pPr>
    </w:p>
    <w:p>
      <w:pPr>
        <w:ind w:left="980" w:hanging="341"/>
        <w:spacing w:after="0"/>
        <w:tabs>
          <w:tab w:leader="none" w:pos="980" w:val="left"/>
        </w:tabs>
        <w:numPr>
          <w:ilvl w:val="0"/>
          <w:numId w:val="37"/>
        </w:numPr>
        <w:rPr>
          <w:rFonts w:ascii="Calibri" w:cs="Calibri" w:eastAsia="Calibri" w:hAnsi="Calibri"/>
          <w:sz w:val="14"/>
          <w:szCs w:val="14"/>
          <w:color w:val="auto"/>
        </w:rPr>
      </w:pPr>
      <w:r>
        <w:rPr>
          <w:rFonts w:ascii="Calibri" w:cs="Calibri" w:eastAsia="Calibri" w:hAnsi="Calibri"/>
          <w:sz w:val="14"/>
          <w:szCs w:val="14"/>
          <w:color w:val="auto"/>
        </w:rPr>
        <w:t>the designaton and terms of any equity securites purchasable upon exercise of the warrants;</w:t>
      </w:r>
    </w:p>
    <w:p>
      <w:pPr>
        <w:spacing w:after="0" w:line="95" w:lineRule="exact"/>
        <w:rPr>
          <w:rFonts w:ascii="Calibri" w:cs="Calibri" w:eastAsia="Calibri" w:hAnsi="Calibri"/>
          <w:sz w:val="14"/>
          <w:szCs w:val="14"/>
          <w:color w:val="auto"/>
        </w:rPr>
      </w:pPr>
    </w:p>
    <w:p>
      <w:pPr>
        <w:ind w:left="980" w:right="779" w:hanging="341"/>
        <w:spacing w:after="0" w:line="235" w:lineRule="auto"/>
        <w:tabs>
          <w:tab w:leader="none" w:pos="980" w:val="left"/>
        </w:tabs>
        <w:numPr>
          <w:ilvl w:val="0"/>
          <w:numId w:val="37"/>
        </w:numPr>
        <w:rPr>
          <w:rFonts w:ascii="Calibri" w:cs="Calibri" w:eastAsia="Calibri" w:hAnsi="Calibri"/>
          <w:sz w:val="14"/>
          <w:szCs w:val="14"/>
          <w:color w:val="auto"/>
        </w:rPr>
      </w:pPr>
      <w:r>
        <w:rPr>
          <w:rFonts w:ascii="Calibri" w:cs="Calibri" w:eastAsia="Calibri" w:hAnsi="Calibri"/>
          <w:sz w:val="14"/>
          <w:szCs w:val="14"/>
          <w:color w:val="auto"/>
        </w:rPr>
        <w:t>the designaton, aggregate principal amount, currency and terms of any debt securites that may be purchased upon exercise of the warrants;</w:t>
      </w:r>
    </w:p>
    <w:p>
      <w:pPr>
        <w:spacing w:after="0" w:line="95" w:lineRule="exact"/>
        <w:rPr>
          <w:rFonts w:ascii="Calibri" w:cs="Calibri" w:eastAsia="Calibri" w:hAnsi="Calibri"/>
          <w:sz w:val="14"/>
          <w:szCs w:val="14"/>
          <w:color w:val="auto"/>
        </w:rPr>
      </w:pPr>
    </w:p>
    <w:p>
      <w:pPr>
        <w:ind w:left="980" w:right="339" w:hanging="341"/>
        <w:spacing w:after="0" w:line="235" w:lineRule="auto"/>
        <w:tabs>
          <w:tab w:leader="none" w:pos="980" w:val="left"/>
        </w:tabs>
        <w:numPr>
          <w:ilvl w:val="0"/>
          <w:numId w:val="37"/>
        </w:numPr>
        <w:rPr>
          <w:rFonts w:ascii="Calibri" w:cs="Calibri" w:eastAsia="Calibri" w:hAnsi="Calibri"/>
          <w:sz w:val="14"/>
          <w:szCs w:val="14"/>
          <w:color w:val="auto"/>
        </w:rPr>
      </w:pPr>
      <w:r>
        <w:rPr>
          <w:rFonts w:ascii="Calibri" w:cs="Calibri" w:eastAsia="Calibri" w:hAnsi="Calibri"/>
          <w:sz w:val="14"/>
          <w:szCs w:val="14"/>
          <w:color w:val="auto"/>
        </w:rPr>
        <w:t>if applicable, the designaton and terms of the debt securites, preferred stock, depositary shares or common stock with which the warrants are issued and the number of warrants issued with each security;</w:t>
      </w:r>
    </w:p>
    <w:p>
      <w:pPr>
        <w:spacing w:after="0" w:line="95" w:lineRule="exact"/>
        <w:rPr>
          <w:rFonts w:ascii="Calibri" w:cs="Calibri" w:eastAsia="Calibri" w:hAnsi="Calibri"/>
          <w:sz w:val="14"/>
          <w:szCs w:val="14"/>
          <w:color w:val="auto"/>
        </w:rPr>
      </w:pPr>
    </w:p>
    <w:p>
      <w:pPr>
        <w:ind w:left="980" w:right="339" w:hanging="341"/>
        <w:spacing w:after="0" w:line="235" w:lineRule="auto"/>
        <w:tabs>
          <w:tab w:leader="none" w:pos="980" w:val="left"/>
        </w:tabs>
        <w:numPr>
          <w:ilvl w:val="0"/>
          <w:numId w:val="37"/>
        </w:numPr>
        <w:rPr>
          <w:rFonts w:ascii="Calibri" w:cs="Calibri" w:eastAsia="Calibri" w:hAnsi="Calibri"/>
          <w:sz w:val="14"/>
          <w:szCs w:val="14"/>
          <w:color w:val="auto"/>
        </w:rPr>
      </w:pPr>
      <w:r>
        <w:rPr>
          <w:rFonts w:ascii="Calibri" w:cs="Calibri" w:eastAsia="Calibri" w:hAnsi="Calibri"/>
          <w:sz w:val="14"/>
          <w:szCs w:val="14"/>
          <w:color w:val="auto"/>
        </w:rPr>
        <w:t>if applicable, the date from and afer which any warrants issued as part of a unit and the related debt securites, preferred stock, depositary shares or common stock will be separately transferable;</w:t>
      </w:r>
    </w:p>
    <w:p>
      <w:pPr>
        <w:spacing w:after="0" w:line="95" w:lineRule="exact"/>
        <w:rPr>
          <w:rFonts w:ascii="Calibri" w:cs="Calibri" w:eastAsia="Calibri" w:hAnsi="Calibri"/>
          <w:sz w:val="14"/>
          <w:szCs w:val="14"/>
          <w:color w:val="auto"/>
        </w:rPr>
      </w:pPr>
    </w:p>
    <w:p>
      <w:pPr>
        <w:ind w:left="980" w:right="579" w:hanging="341"/>
        <w:spacing w:after="0" w:line="235" w:lineRule="auto"/>
        <w:tabs>
          <w:tab w:leader="none" w:pos="980" w:val="left"/>
        </w:tabs>
        <w:numPr>
          <w:ilvl w:val="0"/>
          <w:numId w:val="37"/>
        </w:numPr>
        <w:rPr>
          <w:rFonts w:ascii="Calibri" w:cs="Calibri" w:eastAsia="Calibri" w:hAnsi="Calibri"/>
          <w:sz w:val="14"/>
          <w:szCs w:val="14"/>
          <w:color w:val="auto"/>
        </w:rPr>
      </w:pPr>
      <w:r>
        <w:rPr>
          <w:rFonts w:ascii="Calibri" w:cs="Calibri" w:eastAsia="Calibri" w:hAnsi="Calibri"/>
          <w:sz w:val="14"/>
          <w:szCs w:val="14"/>
          <w:color w:val="auto"/>
        </w:rPr>
        <w:t>the number of shares of preferred stock, the number of depositary shares or the number of shares of common stock purchasable upon exercise of a warrant and the price at which those shares may be purchased;</w:t>
      </w:r>
    </w:p>
    <w:p>
      <w:pPr>
        <w:spacing w:after="0" w:line="92" w:lineRule="exact"/>
        <w:rPr>
          <w:rFonts w:ascii="Calibri" w:cs="Calibri" w:eastAsia="Calibri" w:hAnsi="Calibri"/>
          <w:sz w:val="14"/>
          <w:szCs w:val="14"/>
          <w:color w:val="auto"/>
        </w:rPr>
      </w:pPr>
    </w:p>
    <w:p>
      <w:pPr>
        <w:ind w:left="980" w:hanging="341"/>
        <w:spacing w:after="0"/>
        <w:tabs>
          <w:tab w:leader="none" w:pos="980" w:val="left"/>
        </w:tabs>
        <w:numPr>
          <w:ilvl w:val="0"/>
          <w:numId w:val="37"/>
        </w:numPr>
        <w:rPr>
          <w:rFonts w:ascii="Calibri" w:cs="Calibri" w:eastAsia="Calibri" w:hAnsi="Calibri"/>
          <w:sz w:val="14"/>
          <w:szCs w:val="14"/>
          <w:color w:val="auto"/>
        </w:rPr>
      </w:pPr>
      <w:r>
        <w:rPr>
          <w:rFonts w:ascii="Calibri" w:cs="Calibri" w:eastAsia="Calibri" w:hAnsi="Calibri"/>
          <w:sz w:val="14"/>
          <w:szCs w:val="14"/>
          <w:color w:val="auto"/>
        </w:rPr>
        <w:t>if applicable, the minimum or maximum amount of the warrants that may be exercised at any one tme;</w:t>
      </w:r>
    </w:p>
    <w:p>
      <w:pPr>
        <w:spacing w:after="0" w:line="91" w:lineRule="exact"/>
        <w:rPr>
          <w:rFonts w:ascii="Calibri" w:cs="Calibri" w:eastAsia="Calibri" w:hAnsi="Calibri"/>
          <w:sz w:val="14"/>
          <w:szCs w:val="14"/>
          <w:color w:val="auto"/>
        </w:rPr>
      </w:pPr>
    </w:p>
    <w:p>
      <w:pPr>
        <w:ind w:left="980" w:hanging="341"/>
        <w:spacing w:after="0"/>
        <w:tabs>
          <w:tab w:leader="none" w:pos="980" w:val="left"/>
        </w:tabs>
        <w:numPr>
          <w:ilvl w:val="0"/>
          <w:numId w:val="37"/>
        </w:numPr>
        <w:rPr>
          <w:rFonts w:ascii="Calibri" w:cs="Calibri" w:eastAsia="Calibri" w:hAnsi="Calibri"/>
          <w:sz w:val="14"/>
          <w:szCs w:val="14"/>
          <w:color w:val="auto"/>
        </w:rPr>
      </w:pPr>
      <w:r>
        <w:rPr>
          <w:rFonts w:ascii="Calibri" w:cs="Calibri" w:eastAsia="Calibri" w:hAnsi="Calibri"/>
          <w:sz w:val="14"/>
          <w:szCs w:val="14"/>
          <w:color w:val="auto"/>
        </w:rPr>
        <w:t>informaton with respect to book-entry procedures, if any;</w:t>
      </w:r>
    </w:p>
    <w:p>
      <w:pPr>
        <w:spacing w:after="0" w:line="91" w:lineRule="exact"/>
        <w:rPr>
          <w:rFonts w:ascii="Calibri" w:cs="Calibri" w:eastAsia="Calibri" w:hAnsi="Calibri"/>
          <w:sz w:val="14"/>
          <w:szCs w:val="14"/>
          <w:color w:val="auto"/>
        </w:rPr>
      </w:pPr>
    </w:p>
    <w:p>
      <w:pPr>
        <w:ind w:left="980" w:hanging="341"/>
        <w:spacing w:after="0"/>
        <w:tabs>
          <w:tab w:leader="none" w:pos="980" w:val="left"/>
        </w:tabs>
        <w:numPr>
          <w:ilvl w:val="0"/>
          <w:numId w:val="37"/>
        </w:numPr>
        <w:rPr>
          <w:rFonts w:ascii="Calibri" w:cs="Calibri" w:eastAsia="Calibri" w:hAnsi="Calibri"/>
          <w:sz w:val="14"/>
          <w:szCs w:val="14"/>
          <w:color w:val="auto"/>
        </w:rPr>
      </w:pPr>
      <w:r>
        <w:rPr>
          <w:rFonts w:ascii="Calibri" w:cs="Calibri" w:eastAsia="Calibri" w:hAnsi="Calibri"/>
          <w:sz w:val="14"/>
          <w:szCs w:val="14"/>
          <w:color w:val="auto"/>
        </w:rPr>
        <w:t>the antdiluton provisions, and other provisions for changes to or adjustment in the exercise price, of the warrants, if any;</w:t>
      </w:r>
    </w:p>
    <w:p>
      <w:pPr>
        <w:spacing w:after="0" w:line="91" w:lineRule="exact"/>
        <w:rPr>
          <w:rFonts w:ascii="Calibri" w:cs="Calibri" w:eastAsia="Calibri" w:hAnsi="Calibri"/>
          <w:sz w:val="14"/>
          <w:szCs w:val="14"/>
          <w:color w:val="auto"/>
        </w:rPr>
      </w:pPr>
    </w:p>
    <w:p>
      <w:pPr>
        <w:ind w:left="980" w:hanging="341"/>
        <w:spacing w:after="0"/>
        <w:tabs>
          <w:tab w:leader="none" w:pos="980" w:val="left"/>
        </w:tabs>
        <w:numPr>
          <w:ilvl w:val="0"/>
          <w:numId w:val="37"/>
        </w:numPr>
        <w:rPr>
          <w:rFonts w:ascii="Calibri" w:cs="Calibri" w:eastAsia="Calibri" w:hAnsi="Calibri"/>
          <w:sz w:val="14"/>
          <w:szCs w:val="14"/>
          <w:color w:val="auto"/>
        </w:rPr>
      </w:pPr>
      <w:r>
        <w:rPr>
          <w:rFonts w:ascii="Calibri" w:cs="Calibri" w:eastAsia="Calibri" w:hAnsi="Calibri"/>
          <w:sz w:val="14"/>
          <w:szCs w:val="14"/>
          <w:color w:val="auto"/>
        </w:rPr>
        <w:t>any redempton or call provisions; and</w:t>
      </w:r>
    </w:p>
    <w:p>
      <w:pPr>
        <w:spacing w:after="0" w:line="91" w:lineRule="exact"/>
        <w:rPr>
          <w:rFonts w:ascii="Calibri" w:cs="Calibri" w:eastAsia="Calibri" w:hAnsi="Calibri"/>
          <w:sz w:val="14"/>
          <w:szCs w:val="14"/>
          <w:color w:val="auto"/>
        </w:rPr>
      </w:pPr>
    </w:p>
    <w:p>
      <w:pPr>
        <w:ind w:left="980" w:hanging="341"/>
        <w:spacing w:after="0"/>
        <w:tabs>
          <w:tab w:leader="none" w:pos="980" w:val="left"/>
        </w:tabs>
        <w:numPr>
          <w:ilvl w:val="0"/>
          <w:numId w:val="37"/>
        </w:numPr>
        <w:rPr>
          <w:rFonts w:ascii="Calibri" w:cs="Calibri" w:eastAsia="Calibri" w:hAnsi="Calibri"/>
          <w:sz w:val="14"/>
          <w:szCs w:val="14"/>
          <w:color w:val="auto"/>
        </w:rPr>
      </w:pPr>
      <w:r>
        <w:rPr>
          <w:rFonts w:ascii="Calibri" w:cs="Calibri" w:eastAsia="Calibri" w:hAnsi="Calibri"/>
          <w:sz w:val="14"/>
          <w:szCs w:val="14"/>
          <w:color w:val="auto"/>
        </w:rPr>
        <w:t>any additonal terms of the warrants, including terms, procedures and limitatons relatng to the exchange or exercise of the warrants.</w:t>
      </w:r>
    </w:p>
    <w:p>
      <w:pPr>
        <w:spacing w:after="0" w:line="113" w:lineRule="exact"/>
        <w:rPr>
          <w:sz w:val="20"/>
          <w:szCs w:val="20"/>
          <w:color w:val="auto"/>
        </w:rPr>
      </w:pPr>
    </w:p>
    <w:p>
      <w:pPr>
        <w:jc w:val="center"/>
        <w:ind w:right="19"/>
        <w:spacing w:after="0"/>
        <w:rPr>
          <w:sz w:val="20"/>
          <w:szCs w:val="20"/>
          <w:color w:val="auto"/>
        </w:rPr>
      </w:pPr>
      <w:r>
        <w:rPr>
          <w:rFonts w:ascii="Calibri" w:cs="Calibri" w:eastAsia="Calibri" w:hAnsi="Calibri"/>
          <w:sz w:val="14"/>
          <w:szCs w:val="14"/>
          <w:color w:val="auto"/>
        </w:rPr>
        <w:t>-20-</w:t>
      </w:r>
    </w:p>
    <w:p>
      <w:pPr>
        <w:sectPr>
          <w:pgSz w:w="11900" w:h="16838" w:orient="portrait"/>
          <w:cols w:equalWidth="0" w:num="1">
            <w:col w:w="9019"/>
          </w:cols>
          <w:pgMar w:left="1440" w:top="234" w:right="1440" w:bottom="1440" w:gutter="0" w:footer="0" w:header="0"/>
        </w:sectPr>
      </w:pPr>
    </w:p>
    <w:bookmarkStart w:id="63" w:name="page64"/>
    <w:bookmarkEnd w:id="63"/>
    <w:p>
      <w:pPr>
        <w:jc w:val="center"/>
        <w:spacing w:after="0"/>
        <w:rPr>
          <w:sz w:val="20"/>
          <w:szCs w:val="20"/>
          <w:color w:val="auto"/>
        </w:rPr>
      </w:pPr>
      <w:r>
        <w:rPr>
          <w:rFonts w:ascii="Calibri" w:cs="Calibri" w:eastAsia="Calibri" w:hAnsi="Calibri"/>
          <w:sz w:val="14"/>
          <w:szCs w:val="14"/>
          <w:b w:val="1"/>
          <w:bCs w:val="1"/>
          <w:color w:val="auto"/>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91">
                      <a:extLst>
                        <a:ext uri="{28A0092B-C50C-407E-A947-70E740481C1C}"/>
                      </a:extLst>
                    </a:blip>
                    <a:srcRect/>
                    <a:stretch>
                      <a:fillRect/>
                    </a:stretch>
                  </pic:blipFill>
                  <pic:spPr bwMode="auto">
                    <a:xfrm>
                      <a:off x="0" y="0"/>
                      <a:ext cx="7201535" cy="33020"/>
                    </a:xfrm>
                    <a:prstGeom prst="rect">
                      <a:avLst/>
                    </a:prstGeom>
                    <a:noFill/>
                  </pic:spPr>
                </pic:pic>
              </a:graphicData>
            </a:graphic>
          </wp:anchor>
        </w:drawing>
        <w:t>DESCRIPTION OF SUBSCRIPTION RIGHTS</w:t>
      </w:r>
    </w:p>
    <w:p>
      <w:pPr>
        <w:spacing w:after="0" w:line="169" w:lineRule="exact"/>
        <w:rPr>
          <w:sz w:val="20"/>
          <w:szCs w:val="20"/>
          <w:color w:val="auto"/>
        </w:rPr>
      </w:pPr>
    </w:p>
    <w:p>
      <w:pPr>
        <w:ind w:left="220" w:right="259" w:firstLine="343"/>
        <w:spacing w:after="0" w:line="235" w:lineRule="auto"/>
        <w:rPr>
          <w:sz w:val="20"/>
          <w:szCs w:val="20"/>
          <w:color w:val="auto"/>
        </w:rPr>
      </w:pPr>
      <w:r>
        <w:rPr>
          <w:rFonts w:ascii="Calibri" w:cs="Calibri" w:eastAsia="Calibri" w:hAnsi="Calibri"/>
          <w:sz w:val="14"/>
          <w:szCs w:val="14"/>
          <w:color w:val="auto"/>
        </w:rPr>
        <w:t>We may ofer subscripton rights to purchase our common stock, preferred stock, debt securites, depositary shares, warrants or units consistng of some or all of these securites. These subscripton rights may be ofered independently or together with any other security ofered hereby and may or may not be transferable by the stockholder receiving the subscripton rights in such ofering. In connecton with any ofering of subscripton rights, we may enter into a standby arrangement with one or more underwriters or other purchasers pursuant to which the underwriters or other purchasers may be required to purchase any securites remaining unsubscribed for afer such ofering.</w:t>
      </w:r>
    </w:p>
    <w:p>
      <w:pPr>
        <w:spacing w:after="0" w:line="172" w:lineRule="exact"/>
        <w:rPr>
          <w:sz w:val="20"/>
          <w:szCs w:val="20"/>
          <w:color w:val="auto"/>
        </w:rPr>
      </w:pPr>
    </w:p>
    <w:p>
      <w:pPr>
        <w:ind w:left="220" w:right="499" w:firstLine="343"/>
        <w:spacing w:after="0" w:line="235" w:lineRule="auto"/>
        <w:rPr>
          <w:sz w:val="20"/>
          <w:szCs w:val="20"/>
          <w:color w:val="auto"/>
        </w:rPr>
      </w:pPr>
      <w:r>
        <w:rPr>
          <w:rFonts w:ascii="Calibri" w:cs="Calibri" w:eastAsia="Calibri" w:hAnsi="Calibri"/>
          <w:sz w:val="14"/>
          <w:szCs w:val="14"/>
          <w:color w:val="auto"/>
        </w:rPr>
        <w:t>The prospectus supplement relatng to any subscripton rights we ofer, if any, will, to the extent applicable, include specifc terms relatng to the ofering, including some or all of the following:</w:t>
      </w:r>
    </w:p>
    <w:p>
      <w:pPr>
        <w:spacing w:after="0" w:line="92" w:lineRule="exact"/>
        <w:rPr>
          <w:sz w:val="20"/>
          <w:szCs w:val="20"/>
          <w:color w:val="auto"/>
        </w:rPr>
      </w:pPr>
    </w:p>
    <w:p>
      <w:pPr>
        <w:ind w:left="980" w:hanging="341"/>
        <w:spacing w:after="0"/>
        <w:tabs>
          <w:tab w:leader="none" w:pos="980" w:val="left"/>
        </w:tabs>
        <w:numPr>
          <w:ilvl w:val="0"/>
          <w:numId w:val="38"/>
        </w:numPr>
        <w:rPr>
          <w:rFonts w:ascii="Calibri" w:cs="Calibri" w:eastAsia="Calibri" w:hAnsi="Calibri"/>
          <w:sz w:val="14"/>
          <w:szCs w:val="14"/>
          <w:color w:val="auto"/>
        </w:rPr>
      </w:pPr>
      <w:r>
        <w:rPr>
          <w:rFonts w:ascii="Calibri" w:cs="Calibri" w:eastAsia="Calibri" w:hAnsi="Calibri"/>
          <w:sz w:val="14"/>
          <w:szCs w:val="14"/>
          <w:color w:val="auto"/>
        </w:rPr>
        <w:t>the price, if any, for the subscripton rights;</w:t>
      </w:r>
    </w:p>
    <w:p>
      <w:pPr>
        <w:spacing w:after="0" w:line="95" w:lineRule="exact"/>
        <w:rPr>
          <w:rFonts w:ascii="Calibri" w:cs="Calibri" w:eastAsia="Calibri" w:hAnsi="Calibri"/>
          <w:sz w:val="14"/>
          <w:szCs w:val="14"/>
          <w:color w:val="auto"/>
        </w:rPr>
      </w:pPr>
    </w:p>
    <w:p>
      <w:pPr>
        <w:ind w:left="980" w:right="319" w:hanging="341"/>
        <w:spacing w:after="0" w:line="235" w:lineRule="auto"/>
        <w:tabs>
          <w:tab w:leader="none" w:pos="980" w:val="left"/>
        </w:tabs>
        <w:numPr>
          <w:ilvl w:val="0"/>
          <w:numId w:val="38"/>
        </w:numPr>
        <w:rPr>
          <w:rFonts w:ascii="Calibri" w:cs="Calibri" w:eastAsia="Calibri" w:hAnsi="Calibri"/>
          <w:sz w:val="14"/>
          <w:szCs w:val="14"/>
          <w:color w:val="auto"/>
        </w:rPr>
      </w:pPr>
      <w:r>
        <w:rPr>
          <w:rFonts w:ascii="Calibri" w:cs="Calibri" w:eastAsia="Calibri" w:hAnsi="Calibri"/>
          <w:sz w:val="14"/>
          <w:szCs w:val="14"/>
          <w:color w:val="auto"/>
        </w:rPr>
        <w:t>the exercise price payable for our common stock, preferred stock, debt securites, depositary shares, warrants or units consistng of some or all of these securites upon the exercise of the subscripton rights;</w:t>
      </w:r>
    </w:p>
    <w:p>
      <w:pPr>
        <w:spacing w:after="0" w:line="92" w:lineRule="exact"/>
        <w:rPr>
          <w:rFonts w:ascii="Calibri" w:cs="Calibri" w:eastAsia="Calibri" w:hAnsi="Calibri"/>
          <w:sz w:val="14"/>
          <w:szCs w:val="14"/>
          <w:color w:val="auto"/>
        </w:rPr>
      </w:pPr>
    </w:p>
    <w:p>
      <w:pPr>
        <w:ind w:left="980" w:hanging="341"/>
        <w:spacing w:after="0"/>
        <w:tabs>
          <w:tab w:leader="none" w:pos="980" w:val="left"/>
        </w:tabs>
        <w:numPr>
          <w:ilvl w:val="0"/>
          <w:numId w:val="38"/>
        </w:numPr>
        <w:rPr>
          <w:rFonts w:ascii="Calibri" w:cs="Calibri" w:eastAsia="Calibri" w:hAnsi="Calibri"/>
          <w:sz w:val="14"/>
          <w:szCs w:val="14"/>
          <w:color w:val="auto"/>
        </w:rPr>
      </w:pPr>
      <w:r>
        <w:rPr>
          <w:rFonts w:ascii="Calibri" w:cs="Calibri" w:eastAsia="Calibri" w:hAnsi="Calibri"/>
          <w:sz w:val="14"/>
          <w:szCs w:val="14"/>
          <w:color w:val="auto"/>
        </w:rPr>
        <w:t>the number of subscripton rights to be issued to each stockholder;</w:t>
      </w:r>
    </w:p>
    <w:p>
      <w:pPr>
        <w:spacing w:after="0" w:line="95" w:lineRule="exact"/>
        <w:rPr>
          <w:rFonts w:ascii="Calibri" w:cs="Calibri" w:eastAsia="Calibri" w:hAnsi="Calibri"/>
          <w:sz w:val="14"/>
          <w:szCs w:val="14"/>
          <w:color w:val="auto"/>
        </w:rPr>
      </w:pPr>
    </w:p>
    <w:p>
      <w:pPr>
        <w:ind w:left="980" w:right="239" w:hanging="341"/>
        <w:spacing w:after="0" w:line="235" w:lineRule="auto"/>
        <w:tabs>
          <w:tab w:leader="none" w:pos="980" w:val="left"/>
        </w:tabs>
        <w:numPr>
          <w:ilvl w:val="0"/>
          <w:numId w:val="38"/>
        </w:numPr>
        <w:rPr>
          <w:rFonts w:ascii="Calibri" w:cs="Calibri" w:eastAsia="Calibri" w:hAnsi="Calibri"/>
          <w:sz w:val="14"/>
          <w:szCs w:val="14"/>
          <w:color w:val="auto"/>
        </w:rPr>
      </w:pPr>
      <w:r>
        <w:rPr>
          <w:rFonts w:ascii="Calibri" w:cs="Calibri" w:eastAsia="Calibri" w:hAnsi="Calibri"/>
          <w:sz w:val="14"/>
          <w:szCs w:val="14"/>
          <w:color w:val="auto"/>
        </w:rPr>
        <w:t>the number and terms of our common stock, preferred stock, debt securites, depositary shares, warrants or units consistng of some or all of these securites which may be purchased per each subscripton right;</w:t>
      </w:r>
    </w:p>
    <w:p>
      <w:pPr>
        <w:spacing w:after="0" w:line="92" w:lineRule="exact"/>
        <w:rPr>
          <w:rFonts w:ascii="Calibri" w:cs="Calibri" w:eastAsia="Calibri" w:hAnsi="Calibri"/>
          <w:sz w:val="14"/>
          <w:szCs w:val="14"/>
          <w:color w:val="auto"/>
        </w:rPr>
      </w:pPr>
    </w:p>
    <w:p>
      <w:pPr>
        <w:ind w:left="980" w:hanging="341"/>
        <w:spacing w:after="0"/>
        <w:tabs>
          <w:tab w:leader="none" w:pos="980" w:val="left"/>
        </w:tabs>
        <w:numPr>
          <w:ilvl w:val="0"/>
          <w:numId w:val="38"/>
        </w:numPr>
        <w:rPr>
          <w:rFonts w:ascii="Calibri" w:cs="Calibri" w:eastAsia="Calibri" w:hAnsi="Calibri"/>
          <w:sz w:val="14"/>
          <w:szCs w:val="14"/>
          <w:color w:val="auto"/>
        </w:rPr>
      </w:pPr>
      <w:r>
        <w:rPr>
          <w:rFonts w:ascii="Calibri" w:cs="Calibri" w:eastAsia="Calibri" w:hAnsi="Calibri"/>
          <w:sz w:val="14"/>
          <w:szCs w:val="14"/>
          <w:color w:val="auto"/>
        </w:rPr>
        <w:t>the extent to which the subscripton rights are transferable;</w:t>
      </w:r>
    </w:p>
    <w:p>
      <w:pPr>
        <w:spacing w:after="0" w:line="95" w:lineRule="exact"/>
        <w:rPr>
          <w:rFonts w:ascii="Calibri" w:cs="Calibri" w:eastAsia="Calibri" w:hAnsi="Calibri"/>
          <w:sz w:val="14"/>
          <w:szCs w:val="14"/>
          <w:color w:val="auto"/>
        </w:rPr>
      </w:pPr>
    </w:p>
    <w:p>
      <w:pPr>
        <w:ind w:left="980" w:right="619" w:hanging="341"/>
        <w:spacing w:after="0" w:line="235" w:lineRule="auto"/>
        <w:tabs>
          <w:tab w:leader="none" w:pos="980" w:val="left"/>
        </w:tabs>
        <w:numPr>
          <w:ilvl w:val="0"/>
          <w:numId w:val="38"/>
        </w:numPr>
        <w:rPr>
          <w:rFonts w:ascii="Calibri" w:cs="Calibri" w:eastAsia="Calibri" w:hAnsi="Calibri"/>
          <w:sz w:val="14"/>
          <w:szCs w:val="14"/>
          <w:color w:val="auto"/>
        </w:rPr>
      </w:pPr>
      <w:r>
        <w:rPr>
          <w:rFonts w:ascii="Calibri" w:cs="Calibri" w:eastAsia="Calibri" w:hAnsi="Calibri"/>
          <w:sz w:val="14"/>
          <w:szCs w:val="14"/>
          <w:color w:val="auto"/>
        </w:rPr>
        <w:t>any other terms of the subscripton rights, including the terms, procedures and limitatons relatng to the exchange and exercise of the subscripton rights;</w:t>
      </w:r>
    </w:p>
    <w:p>
      <w:pPr>
        <w:spacing w:after="0" w:line="92" w:lineRule="exact"/>
        <w:rPr>
          <w:rFonts w:ascii="Calibri" w:cs="Calibri" w:eastAsia="Calibri" w:hAnsi="Calibri"/>
          <w:sz w:val="14"/>
          <w:szCs w:val="14"/>
          <w:color w:val="auto"/>
        </w:rPr>
      </w:pPr>
    </w:p>
    <w:p>
      <w:pPr>
        <w:ind w:left="980" w:hanging="341"/>
        <w:spacing w:after="0"/>
        <w:tabs>
          <w:tab w:leader="none" w:pos="980" w:val="left"/>
        </w:tabs>
        <w:numPr>
          <w:ilvl w:val="0"/>
          <w:numId w:val="38"/>
        </w:numPr>
        <w:rPr>
          <w:rFonts w:ascii="Calibri" w:cs="Calibri" w:eastAsia="Calibri" w:hAnsi="Calibri"/>
          <w:sz w:val="14"/>
          <w:szCs w:val="14"/>
          <w:color w:val="auto"/>
        </w:rPr>
      </w:pPr>
      <w:r>
        <w:rPr>
          <w:rFonts w:ascii="Calibri" w:cs="Calibri" w:eastAsia="Calibri" w:hAnsi="Calibri"/>
          <w:sz w:val="14"/>
          <w:szCs w:val="14"/>
          <w:color w:val="auto"/>
        </w:rPr>
        <w:t>the date on which the right to exercise the subscripton rights shall commence, and the date on which the subscripton rights shall expire;</w:t>
      </w:r>
    </w:p>
    <w:p>
      <w:pPr>
        <w:spacing w:after="0" w:line="95" w:lineRule="exact"/>
        <w:rPr>
          <w:rFonts w:ascii="Calibri" w:cs="Calibri" w:eastAsia="Calibri" w:hAnsi="Calibri"/>
          <w:sz w:val="14"/>
          <w:szCs w:val="14"/>
          <w:color w:val="auto"/>
        </w:rPr>
      </w:pPr>
    </w:p>
    <w:p>
      <w:pPr>
        <w:ind w:left="980" w:right="499" w:hanging="341"/>
        <w:spacing w:after="0" w:line="235" w:lineRule="auto"/>
        <w:tabs>
          <w:tab w:leader="none" w:pos="980" w:val="left"/>
        </w:tabs>
        <w:numPr>
          <w:ilvl w:val="0"/>
          <w:numId w:val="38"/>
        </w:numPr>
        <w:rPr>
          <w:rFonts w:ascii="Calibri" w:cs="Calibri" w:eastAsia="Calibri" w:hAnsi="Calibri"/>
          <w:sz w:val="14"/>
          <w:szCs w:val="14"/>
          <w:color w:val="auto"/>
        </w:rPr>
      </w:pPr>
      <w:r>
        <w:rPr>
          <w:rFonts w:ascii="Calibri" w:cs="Calibri" w:eastAsia="Calibri" w:hAnsi="Calibri"/>
          <w:sz w:val="14"/>
          <w:szCs w:val="14"/>
          <w:color w:val="auto"/>
        </w:rPr>
        <w:t>the extent to which the subscripton rights may include an over-subscripton privilege with respect to unsubscribed securites or an over-allotment privilege to the extent the securites are fully subscribed; and</w:t>
      </w:r>
    </w:p>
    <w:p>
      <w:pPr>
        <w:spacing w:after="0" w:line="95" w:lineRule="exact"/>
        <w:rPr>
          <w:rFonts w:ascii="Calibri" w:cs="Calibri" w:eastAsia="Calibri" w:hAnsi="Calibri"/>
          <w:sz w:val="14"/>
          <w:szCs w:val="14"/>
          <w:color w:val="auto"/>
        </w:rPr>
      </w:pPr>
    </w:p>
    <w:p>
      <w:pPr>
        <w:ind w:left="980" w:right="359" w:hanging="341"/>
        <w:spacing w:after="0" w:line="235" w:lineRule="auto"/>
        <w:tabs>
          <w:tab w:leader="none" w:pos="980" w:val="left"/>
        </w:tabs>
        <w:numPr>
          <w:ilvl w:val="0"/>
          <w:numId w:val="38"/>
        </w:numPr>
        <w:rPr>
          <w:rFonts w:ascii="Calibri" w:cs="Calibri" w:eastAsia="Calibri" w:hAnsi="Calibri"/>
          <w:sz w:val="14"/>
          <w:szCs w:val="14"/>
          <w:color w:val="auto"/>
        </w:rPr>
      </w:pPr>
      <w:r>
        <w:rPr>
          <w:rFonts w:ascii="Calibri" w:cs="Calibri" w:eastAsia="Calibri" w:hAnsi="Calibri"/>
          <w:sz w:val="14"/>
          <w:szCs w:val="14"/>
          <w:color w:val="auto"/>
        </w:rPr>
        <w:t>if applicable, the material terms of any standby underwritng or purchase arrangement which may be entered into by us in connecton with the ofering of subscripton rights.</w:t>
      </w:r>
    </w:p>
    <w:p>
      <w:pPr>
        <w:spacing w:after="0" w:line="169" w:lineRule="exact"/>
        <w:rPr>
          <w:sz w:val="20"/>
          <w:szCs w:val="20"/>
          <w:color w:val="auto"/>
        </w:rPr>
      </w:pPr>
    </w:p>
    <w:p>
      <w:pPr>
        <w:ind w:left="220" w:right="219" w:firstLine="343"/>
        <w:spacing w:after="0" w:line="235" w:lineRule="auto"/>
        <w:rPr>
          <w:sz w:val="20"/>
          <w:szCs w:val="20"/>
          <w:color w:val="auto"/>
        </w:rPr>
      </w:pPr>
      <w:r>
        <w:rPr>
          <w:rFonts w:ascii="Calibri" w:cs="Calibri" w:eastAsia="Calibri" w:hAnsi="Calibri"/>
          <w:sz w:val="14"/>
          <w:szCs w:val="14"/>
          <w:color w:val="auto"/>
        </w:rPr>
        <w:t>The descriptons of the subscripton rights in this prospectus and in any prospectus supplement are summaries of the material provisions of the applicable subscripton right agreements. These descriptons do not restate those subscripton right agreements in their entrety and may not contain all the informaton that you may fnd useful. We urge you to read the applicable subscripton right agreements because they, and not the summaries, defne your rights as holders of the subscripton rights. For more informaton, please review the forms of the relevant subscripton right agreements, which will be fled with the SEC promptly afer the ofering of subscripton rights and will be available as described in the secton ttled “Where You Can Find More Informaton.”</w:t>
      </w:r>
    </w:p>
    <w:p>
      <w:pPr>
        <w:spacing w:after="0" w:line="116" w:lineRule="exact"/>
        <w:rPr>
          <w:sz w:val="20"/>
          <w:szCs w:val="20"/>
          <w:color w:val="auto"/>
        </w:rPr>
      </w:pPr>
    </w:p>
    <w:p>
      <w:pPr>
        <w:jc w:val="center"/>
        <w:spacing w:after="0"/>
        <w:rPr>
          <w:sz w:val="20"/>
          <w:szCs w:val="20"/>
          <w:color w:val="auto"/>
        </w:rPr>
      </w:pPr>
      <w:r>
        <w:rPr>
          <w:rFonts w:ascii="Calibri" w:cs="Calibri" w:eastAsia="Calibri" w:hAnsi="Calibri"/>
          <w:sz w:val="14"/>
          <w:szCs w:val="14"/>
          <w:color w:val="auto"/>
        </w:rPr>
        <w:t>-21-</w:t>
      </w:r>
    </w:p>
    <w:p>
      <w:pPr>
        <w:sectPr>
          <w:pgSz w:w="11900" w:h="16838" w:orient="portrait"/>
          <w:cols w:equalWidth="0" w:num="1">
            <w:col w:w="9019"/>
          </w:cols>
          <w:pgMar w:left="1440" w:top="234" w:right="1440" w:bottom="1440" w:gutter="0" w:footer="0" w:header="0"/>
        </w:sectPr>
      </w:pPr>
    </w:p>
    <w:bookmarkStart w:id="64" w:name="page65"/>
    <w:bookmarkEnd w:id="64"/>
    <w:p>
      <w:pPr>
        <w:jc w:val="center"/>
        <w:ind w:right="19"/>
        <w:spacing w:after="0"/>
        <w:rPr>
          <w:sz w:val="20"/>
          <w:szCs w:val="20"/>
          <w:color w:val="auto"/>
        </w:rPr>
      </w:pPr>
      <w:r>
        <w:rPr>
          <w:rFonts w:ascii="Calibri" w:cs="Calibri" w:eastAsia="Calibri" w:hAnsi="Calibri"/>
          <w:sz w:val="14"/>
          <w:szCs w:val="14"/>
          <w:b w:val="1"/>
          <w:bCs w:val="1"/>
          <w:color w:val="auto"/>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92">
                      <a:extLst>
                        <a:ext uri="{28A0092B-C50C-407E-A947-70E740481C1C}"/>
                      </a:extLst>
                    </a:blip>
                    <a:srcRect/>
                    <a:stretch>
                      <a:fillRect/>
                    </a:stretch>
                  </pic:blipFill>
                  <pic:spPr bwMode="auto">
                    <a:xfrm>
                      <a:off x="0" y="0"/>
                      <a:ext cx="7201535" cy="33020"/>
                    </a:xfrm>
                    <a:prstGeom prst="rect">
                      <a:avLst/>
                    </a:prstGeom>
                    <a:noFill/>
                  </pic:spPr>
                </pic:pic>
              </a:graphicData>
            </a:graphic>
          </wp:anchor>
        </w:drawing>
        <w:t>DESCRIPTION OF PURCHASE CONTRACTS</w:t>
      </w:r>
    </w:p>
    <w:p>
      <w:pPr>
        <w:spacing w:after="0" w:line="169" w:lineRule="exact"/>
        <w:rPr>
          <w:sz w:val="20"/>
          <w:szCs w:val="20"/>
          <w:color w:val="auto"/>
        </w:rPr>
      </w:pPr>
    </w:p>
    <w:p>
      <w:pPr>
        <w:ind w:left="220" w:right="259" w:firstLine="343"/>
        <w:spacing w:after="0" w:line="256" w:lineRule="auto"/>
        <w:rPr>
          <w:sz w:val="20"/>
          <w:szCs w:val="20"/>
          <w:color w:val="auto"/>
        </w:rPr>
      </w:pPr>
      <w:r>
        <w:rPr>
          <w:rFonts w:ascii="Calibri" w:cs="Calibri" w:eastAsia="Calibri" w:hAnsi="Calibri"/>
          <w:sz w:val="13"/>
          <w:szCs w:val="13"/>
          <w:color w:val="auto"/>
        </w:rPr>
        <w:t>The following descripton summarizes the general features of the purchase contracts that we may ofer under this prospectus. Although the features we have summarized below will generally apply to any future purchase contracts we may ofer under this prospectus, we will describe the partcular terms of any purchase contracts that we may ofer in more detail in the applicable prospectus supplement. The specifc terms of any purchase contracts may difer from the descripton provided below as a result of negotatons with third partes in connecton with the issuance of those purchase contracts, as well as for other reasons. Because the terms of any purchase contracts we ofer under a prospectus supplement may difer from the terms we describe below, you should rely solely on informaton in the applicable prospectus supplement if that summary is diferent from the summary in this prospectus.</w:t>
      </w:r>
    </w:p>
    <w:p>
      <w:pPr>
        <w:spacing w:after="0" w:line="161" w:lineRule="exact"/>
        <w:rPr>
          <w:sz w:val="20"/>
          <w:szCs w:val="20"/>
          <w:color w:val="auto"/>
        </w:rPr>
      </w:pPr>
    </w:p>
    <w:p>
      <w:pPr>
        <w:ind w:left="220" w:right="239" w:firstLine="343"/>
        <w:spacing w:after="0" w:line="235" w:lineRule="auto"/>
        <w:rPr>
          <w:sz w:val="20"/>
          <w:szCs w:val="20"/>
          <w:color w:val="auto"/>
        </w:rPr>
      </w:pPr>
      <w:r>
        <w:rPr>
          <w:rFonts w:ascii="Calibri" w:cs="Calibri" w:eastAsia="Calibri" w:hAnsi="Calibri"/>
          <w:sz w:val="14"/>
          <w:szCs w:val="14"/>
          <w:color w:val="auto"/>
        </w:rPr>
        <w:t>We will incorporate by reference into the registraton statement of which this prospectus is a part the form of any purchase contract that we may ofer under this prospectus before the sale of the related purchase contract. We urge you to read any applicable prospectus supplement related to specifc purchase contracts being ofered, as well as the complete instruments that contain the terms of the securites that are subject to those purchase contracts. Certain of those instruments, or forms of those instruments, have been fled as exhibits to the registraton statement of which this prospectus is a part, and supplements to those instruments or forms may be incorporated by reference into the registraton statement of which this prospectus is a part from reports we fle with the SEC.</w:t>
      </w:r>
    </w:p>
    <w:p>
      <w:pPr>
        <w:spacing w:after="0" w:line="172" w:lineRule="exact"/>
        <w:rPr>
          <w:sz w:val="20"/>
          <w:szCs w:val="20"/>
          <w:color w:val="auto"/>
        </w:rPr>
      </w:pPr>
    </w:p>
    <w:p>
      <w:pPr>
        <w:ind w:left="220" w:right="319" w:firstLine="343"/>
        <w:spacing w:after="0" w:line="235" w:lineRule="auto"/>
        <w:rPr>
          <w:sz w:val="20"/>
          <w:szCs w:val="20"/>
          <w:color w:val="auto"/>
        </w:rPr>
      </w:pPr>
      <w:r>
        <w:rPr>
          <w:rFonts w:ascii="Calibri" w:cs="Calibri" w:eastAsia="Calibri" w:hAnsi="Calibri"/>
          <w:sz w:val="14"/>
          <w:szCs w:val="14"/>
          <w:color w:val="auto"/>
        </w:rPr>
        <w:t>We may ofer purchase contracts, including contracts obligatng holders to purchase from us, and for us to sell to holders, a specifc or variable number of our securites at a future date or dates. Alternatvely, the purchase contracts may obligate us to purchase from holders, and obligate holders to sell to us, a specifc or varying number of our securites.</w:t>
      </w:r>
    </w:p>
    <w:p>
      <w:pPr>
        <w:spacing w:after="0" w:line="170" w:lineRule="exact"/>
        <w:rPr>
          <w:sz w:val="20"/>
          <w:szCs w:val="20"/>
          <w:color w:val="auto"/>
        </w:rPr>
      </w:pPr>
    </w:p>
    <w:p>
      <w:pPr>
        <w:ind w:left="220" w:right="519" w:firstLine="343"/>
        <w:spacing w:after="0" w:line="235" w:lineRule="auto"/>
        <w:rPr>
          <w:sz w:val="20"/>
          <w:szCs w:val="20"/>
          <w:color w:val="auto"/>
        </w:rPr>
      </w:pPr>
      <w:r>
        <w:rPr>
          <w:rFonts w:ascii="Calibri" w:cs="Calibri" w:eastAsia="Calibri" w:hAnsi="Calibri"/>
          <w:sz w:val="14"/>
          <w:szCs w:val="14"/>
          <w:color w:val="auto"/>
        </w:rPr>
        <w:t>If we ofer any purchase contracts, certain terms of that series of purchase contracts will be described in the applicable prospectus supplement, including, without limitaton, the following:</w:t>
      </w:r>
    </w:p>
    <w:p>
      <w:pPr>
        <w:spacing w:after="0" w:line="96" w:lineRule="exact"/>
        <w:rPr>
          <w:sz w:val="20"/>
          <w:szCs w:val="20"/>
          <w:color w:val="auto"/>
        </w:rPr>
      </w:pPr>
    </w:p>
    <w:p>
      <w:pPr>
        <w:ind w:left="980" w:right="359" w:hanging="341"/>
        <w:spacing w:after="0" w:line="235" w:lineRule="auto"/>
        <w:tabs>
          <w:tab w:leader="none" w:pos="980" w:val="left"/>
        </w:tabs>
        <w:numPr>
          <w:ilvl w:val="0"/>
          <w:numId w:val="39"/>
        </w:numPr>
        <w:rPr>
          <w:rFonts w:ascii="Calibri" w:cs="Calibri" w:eastAsia="Calibri" w:hAnsi="Calibri"/>
          <w:sz w:val="14"/>
          <w:szCs w:val="14"/>
          <w:color w:val="auto"/>
        </w:rPr>
      </w:pPr>
      <w:r>
        <w:rPr>
          <w:rFonts w:ascii="Calibri" w:cs="Calibri" w:eastAsia="Calibri" w:hAnsi="Calibri"/>
          <w:sz w:val="14"/>
          <w:szCs w:val="14"/>
          <w:color w:val="auto"/>
        </w:rPr>
        <w:t>the price of the securites or other property subject to the purchase contracts (which may be determined by reference to a specifc formula described in the purchase contracts);</w:t>
      </w:r>
    </w:p>
    <w:p>
      <w:pPr>
        <w:spacing w:after="0" w:line="95" w:lineRule="exact"/>
        <w:rPr>
          <w:rFonts w:ascii="Calibri" w:cs="Calibri" w:eastAsia="Calibri" w:hAnsi="Calibri"/>
          <w:sz w:val="14"/>
          <w:szCs w:val="14"/>
          <w:color w:val="auto"/>
        </w:rPr>
      </w:pPr>
    </w:p>
    <w:p>
      <w:pPr>
        <w:ind w:left="980" w:right="479" w:hanging="341"/>
        <w:spacing w:after="0" w:line="235" w:lineRule="auto"/>
        <w:tabs>
          <w:tab w:leader="none" w:pos="980" w:val="left"/>
        </w:tabs>
        <w:numPr>
          <w:ilvl w:val="0"/>
          <w:numId w:val="39"/>
        </w:numPr>
        <w:rPr>
          <w:rFonts w:ascii="Calibri" w:cs="Calibri" w:eastAsia="Calibri" w:hAnsi="Calibri"/>
          <w:sz w:val="14"/>
          <w:szCs w:val="14"/>
          <w:color w:val="auto"/>
        </w:rPr>
      </w:pPr>
      <w:r>
        <w:rPr>
          <w:rFonts w:ascii="Calibri" w:cs="Calibri" w:eastAsia="Calibri" w:hAnsi="Calibri"/>
          <w:sz w:val="14"/>
          <w:szCs w:val="14"/>
          <w:color w:val="auto"/>
        </w:rPr>
        <w:t>whether the purchase contracts are issued separately, or as a part of units each consistng of a purchase contract and one or more of our other securites, including U.S. Treasury securites, securing the holder’s obligatons under the purchase contract;</w:t>
      </w:r>
    </w:p>
    <w:p>
      <w:pPr>
        <w:spacing w:after="0" w:line="92" w:lineRule="exact"/>
        <w:rPr>
          <w:rFonts w:ascii="Calibri" w:cs="Calibri" w:eastAsia="Calibri" w:hAnsi="Calibri"/>
          <w:sz w:val="14"/>
          <w:szCs w:val="14"/>
          <w:color w:val="auto"/>
        </w:rPr>
      </w:pPr>
    </w:p>
    <w:p>
      <w:pPr>
        <w:ind w:left="980" w:hanging="341"/>
        <w:spacing w:after="0"/>
        <w:tabs>
          <w:tab w:leader="none" w:pos="980" w:val="left"/>
        </w:tabs>
        <w:numPr>
          <w:ilvl w:val="0"/>
          <w:numId w:val="39"/>
        </w:numPr>
        <w:rPr>
          <w:rFonts w:ascii="Calibri" w:cs="Calibri" w:eastAsia="Calibri" w:hAnsi="Calibri"/>
          <w:sz w:val="14"/>
          <w:szCs w:val="14"/>
          <w:color w:val="auto"/>
        </w:rPr>
      </w:pPr>
      <w:r>
        <w:rPr>
          <w:rFonts w:ascii="Calibri" w:cs="Calibri" w:eastAsia="Calibri" w:hAnsi="Calibri"/>
          <w:sz w:val="14"/>
          <w:szCs w:val="14"/>
          <w:color w:val="auto"/>
        </w:rPr>
        <w:t>any requirement for us to make periodic payments to holders or vice versa, and whether the payments are unsecured or pre-funded;</w:t>
      </w:r>
    </w:p>
    <w:p>
      <w:pPr>
        <w:spacing w:after="0" w:line="91" w:lineRule="exact"/>
        <w:rPr>
          <w:rFonts w:ascii="Calibri" w:cs="Calibri" w:eastAsia="Calibri" w:hAnsi="Calibri"/>
          <w:sz w:val="14"/>
          <w:szCs w:val="14"/>
          <w:color w:val="auto"/>
        </w:rPr>
      </w:pPr>
    </w:p>
    <w:p>
      <w:pPr>
        <w:ind w:left="980" w:hanging="341"/>
        <w:spacing w:after="0"/>
        <w:tabs>
          <w:tab w:leader="none" w:pos="980" w:val="left"/>
        </w:tabs>
        <w:numPr>
          <w:ilvl w:val="0"/>
          <w:numId w:val="39"/>
        </w:numPr>
        <w:rPr>
          <w:rFonts w:ascii="Calibri" w:cs="Calibri" w:eastAsia="Calibri" w:hAnsi="Calibri"/>
          <w:sz w:val="14"/>
          <w:szCs w:val="14"/>
          <w:color w:val="auto"/>
        </w:rPr>
      </w:pPr>
      <w:r>
        <w:rPr>
          <w:rFonts w:ascii="Calibri" w:cs="Calibri" w:eastAsia="Calibri" w:hAnsi="Calibri"/>
          <w:sz w:val="14"/>
          <w:szCs w:val="14"/>
          <w:color w:val="auto"/>
        </w:rPr>
        <w:t>any provisions relatng to any security provided for the purchase contracts;</w:t>
      </w:r>
    </w:p>
    <w:p>
      <w:pPr>
        <w:spacing w:after="0" w:line="95" w:lineRule="exact"/>
        <w:rPr>
          <w:rFonts w:ascii="Calibri" w:cs="Calibri" w:eastAsia="Calibri" w:hAnsi="Calibri"/>
          <w:sz w:val="14"/>
          <w:szCs w:val="14"/>
          <w:color w:val="auto"/>
        </w:rPr>
      </w:pPr>
    </w:p>
    <w:p>
      <w:pPr>
        <w:ind w:left="980" w:right="439" w:hanging="341"/>
        <w:spacing w:after="0" w:line="266" w:lineRule="auto"/>
        <w:tabs>
          <w:tab w:leader="none" w:pos="980" w:val="left"/>
        </w:tabs>
        <w:numPr>
          <w:ilvl w:val="0"/>
          <w:numId w:val="39"/>
        </w:numPr>
        <w:rPr>
          <w:rFonts w:ascii="Calibri" w:cs="Calibri" w:eastAsia="Calibri" w:hAnsi="Calibri"/>
          <w:sz w:val="13"/>
          <w:szCs w:val="13"/>
          <w:color w:val="auto"/>
        </w:rPr>
      </w:pPr>
      <w:r>
        <w:rPr>
          <w:rFonts w:ascii="Calibri" w:cs="Calibri" w:eastAsia="Calibri" w:hAnsi="Calibri"/>
          <w:sz w:val="13"/>
          <w:szCs w:val="13"/>
          <w:color w:val="auto"/>
        </w:rPr>
        <w:t>whether the purchase contracts obligate the holder or us to purchase or sell, or both purchase and sell, the securites subject to purchase under the purchase contract, and the nature and amount of each of those securites, or the method of determining those amounts;</w:t>
      </w:r>
    </w:p>
    <w:p>
      <w:pPr>
        <w:spacing w:after="0" w:line="74" w:lineRule="exact"/>
        <w:rPr>
          <w:rFonts w:ascii="Calibri" w:cs="Calibri" w:eastAsia="Calibri" w:hAnsi="Calibri"/>
          <w:sz w:val="13"/>
          <w:szCs w:val="13"/>
          <w:color w:val="auto"/>
        </w:rPr>
      </w:pPr>
    </w:p>
    <w:p>
      <w:pPr>
        <w:ind w:left="980" w:hanging="341"/>
        <w:spacing w:after="0"/>
        <w:tabs>
          <w:tab w:leader="none" w:pos="980" w:val="left"/>
        </w:tabs>
        <w:numPr>
          <w:ilvl w:val="0"/>
          <w:numId w:val="39"/>
        </w:numPr>
        <w:rPr>
          <w:rFonts w:ascii="Calibri" w:cs="Calibri" w:eastAsia="Calibri" w:hAnsi="Calibri"/>
          <w:sz w:val="14"/>
          <w:szCs w:val="14"/>
          <w:color w:val="auto"/>
        </w:rPr>
      </w:pPr>
      <w:r>
        <w:rPr>
          <w:rFonts w:ascii="Calibri" w:cs="Calibri" w:eastAsia="Calibri" w:hAnsi="Calibri"/>
          <w:sz w:val="14"/>
          <w:szCs w:val="14"/>
          <w:color w:val="auto"/>
        </w:rPr>
        <w:t>whether the purchase contracts are to be prepaid or not;</w:t>
      </w:r>
    </w:p>
    <w:p>
      <w:pPr>
        <w:spacing w:after="0" w:line="95" w:lineRule="exact"/>
        <w:rPr>
          <w:rFonts w:ascii="Calibri" w:cs="Calibri" w:eastAsia="Calibri" w:hAnsi="Calibri"/>
          <w:sz w:val="14"/>
          <w:szCs w:val="14"/>
          <w:color w:val="auto"/>
        </w:rPr>
      </w:pPr>
    </w:p>
    <w:p>
      <w:pPr>
        <w:ind w:left="980" w:right="399" w:hanging="341"/>
        <w:spacing w:after="0" w:line="235" w:lineRule="auto"/>
        <w:tabs>
          <w:tab w:leader="none" w:pos="980" w:val="left"/>
        </w:tabs>
        <w:numPr>
          <w:ilvl w:val="0"/>
          <w:numId w:val="39"/>
        </w:numPr>
        <w:rPr>
          <w:rFonts w:ascii="Calibri" w:cs="Calibri" w:eastAsia="Calibri" w:hAnsi="Calibri"/>
          <w:sz w:val="14"/>
          <w:szCs w:val="14"/>
          <w:color w:val="auto"/>
        </w:rPr>
      </w:pPr>
      <w:r>
        <w:rPr>
          <w:rFonts w:ascii="Calibri" w:cs="Calibri" w:eastAsia="Calibri" w:hAnsi="Calibri"/>
          <w:sz w:val="14"/>
          <w:szCs w:val="14"/>
          <w:color w:val="auto"/>
        </w:rPr>
        <w:t>whether the purchase contracts are to be setled by delivery, or by reference or linkage to the value, performance or level of the securites subject to purchase under the purchase contract;</w:t>
      </w:r>
    </w:p>
    <w:p>
      <w:pPr>
        <w:spacing w:after="0" w:line="92" w:lineRule="exact"/>
        <w:rPr>
          <w:rFonts w:ascii="Calibri" w:cs="Calibri" w:eastAsia="Calibri" w:hAnsi="Calibri"/>
          <w:sz w:val="14"/>
          <w:szCs w:val="14"/>
          <w:color w:val="auto"/>
        </w:rPr>
      </w:pPr>
    </w:p>
    <w:p>
      <w:pPr>
        <w:ind w:left="980" w:hanging="341"/>
        <w:spacing w:after="0"/>
        <w:tabs>
          <w:tab w:leader="none" w:pos="980" w:val="left"/>
        </w:tabs>
        <w:numPr>
          <w:ilvl w:val="0"/>
          <w:numId w:val="39"/>
        </w:numPr>
        <w:rPr>
          <w:rFonts w:ascii="Calibri" w:cs="Calibri" w:eastAsia="Calibri" w:hAnsi="Calibri"/>
          <w:sz w:val="14"/>
          <w:szCs w:val="14"/>
          <w:color w:val="auto"/>
        </w:rPr>
      </w:pPr>
      <w:r>
        <w:rPr>
          <w:rFonts w:ascii="Calibri" w:cs="Calibri" w:eastAsia="Calibri" w:hAnsi="Calibri"/>
          <w:sz w:val="14"/>
          <w:szCs w:val="14"/>
          <w:color w:val="auto"/>
        </w:rPr>
        <w:t>any acceleraton, cancellaton, terminaton or other provisions relatng to the setlement of the purchase contracts;</w:t>
      </w:r>
    </w:p>
    <w:p>
      <w:pPr>
        <w:spacing w:after="0" w:line="91" w:lineRule="exact"/>
        <w:rPr>
          <w:rFonts w:ascii="Calibri" w:cs="Calibri" w:eastAsia="Calibri" w:hAnsi="Calibri"/>
          <w:sz w:val="14"/>
          <w:szCs w:val="14"/>
          <w:color w:val="auto"/>
        </w:rPr>
      </w:pPr>
    </w:p>
    <w:p>
      <w:pPr>
        <w:ind w:left="980" w:hanging="341"/>
        <w:spacing w:after="0"/>
        <w:tabs>
          <w:tab w:leader="none" w:pos="980" w:val="left"/>
        </w:tabs>
        <w:numPr>
          <w:ilvl w:val="0"/>
          <w:numId w:val="39"/>
        </w:numPr>
        <w:rPr>
          <w:rFonts w:ascii="Calibri" w:cs="Calibri" w:eastAsia="Calibri" w:hAnsi="Calibri"/>
          <w:sz w:val="14"/>
          <w:szCs w:val="14"/>
          <w:color w:val="auto"/>
        </w:rPr>
      </w:pPr>
      <w:r>
        <w:rPr>
          <w:rFonts w:ascii="Calibri" w:cs="Calibri" w:eastAsia="Calibri" w:hAnsi="Calibri"/>
          <w:sz w:val="14"/>
          <w:szCs w:val="14"/>
          <w:color w:val="auto"/>
        </w:rPr>
        <w:t>a discussion of certain U.S. federal income tax consideratons applicable to the purchase contracts;</w:t>
      </w:r>
    </w:p>
    <w:p>
      <w:pPr>
        <w:spacing w:after="0" w:line="91" w:lineRule="exact"/>
        <w:rPr>
          <w:rFonts w:ascii="Calibri" w:cs="Calibri" w:eastAsia="Calibri" w:hAnsi="Calibri"/>
          <w:sz w:val="14"/>
          <w:szCs w:val="14"/>
          <w:color w:val="auto"/>
        </w:rPr>
      </w:pPr>
    </w:p>
    <w:p>
      <w:pPr>
        <w:ind w:left="980" w:hanging="341"/>
        <w:spacing w:after="0"/>
        <w:tabs>
          <w:tab w:leader="none" w:pos="980" w:val="left"/>
        </w:tabs>
        <w:numPr>
          <w:ilvl w:val="0"/>
          <w:numId w:val="39"/>
        </w:numPr>
        <w:rPr>
          <w:rFonts w:ascii="Calibri" w:cs="Calibri" w:eastAsia="Calibri" w:hAnsi="Calibri"/>
          <w:sz w:val="14"/>
          <w:szCs w:val="14"/>
          <w:color w:val="auto"/>
        </w:rPr>
      </w:pPr>
      <w:r>
        <w:rPr>
          <w:rFonts w:ascii="Calibri" w:cs="Calibri" w:eastAsia="Calibri" w:hAnsi="Calibri"/>
          <w:sz w:val="14"/>
          <w:szCs w:val="14"/>
          <w:color w:val="auto"/>
        </w:rPr>
        <w:t>whether the purchase contracts will be issued in fully registered or global form; and</w:t>
      </w:r>
    </w:p>
    <w:p>
      <w:pPr>
        <w:spacing w:after="0" w:line="91" w:lineRule="exact"/>
        <w:rPr>
          <w:rFonts w:ascii="Calibri" w:cs="Calibri" w:eastAsia="Calibri" w:hAnsi="Calibri"/>
          <w:sz w:val="14"/>
          <w:szCs w:val="14"/>
          <w:color w:val="auto"/>
        </w:rPr>
      </w:pPr>
    </w:p>
    <w:p>
      <w:pPr>
        <w:ind w:left="980" w:hanging="341"/>
        <w:spacing w:after="0"/>
        <w:tabs>
          <w:tab w:leader="none" w:pos="980" w:val="left"/>
        </w:tabs>
        <w:numPr>
          <w:ilvl w:val="0"/>
          <w:numId w:val="39"/>
        </w:numPr>
        <w:rPr>
          <w:rFonts w:ascii="Calibri" w:cs="Calibri" w:eastAsia="Calibri" w:hAnsi="Calibri"/>
          <w:sz w:val="14"/>
          <w:szCs w:val="14"/>
          <w:color w:val="auto"/>
        </w:rPr>
      </w:pPr>
      <w:r>
        <w:rPr>
          <w:rFonts w:ascii="Calibri" w:cs="Calibri" w:eastAsia="Calibri" w:hAnsi="Calibri"/>
          <w:sz w:val="14"/>
          <w:szCs w:val="14"/>
          <w:color w:val="auto"/>
        </w:rPr>
        <w:t>any other terms of the purchase contracts and any securites subject to such purchase contracts.</w:t>
      </w:r>
    </w:p>
    <w:p>
      <w:pPr>
        <w:spacing w:after="0" w:line="113" w:lineRule="exact"/>
        <w:rPr>
          <w:sz w:val="20"/>
          <w:szCs w:val="20"/>
          <w:color w:val="auto"/>
        </w:rPr>
      </w:pPr>
    </w:p>
    <w:p>
      <w:pPr>
        <w:jc w:val="center"/>
        <w:ind w:right="19"/>
        <w:spacing w:after="0"/>
        <w:rPr>
          <w:sz w:val="20"/>
          <w:szCs w:val="20"/>
          <w:color w:val="auto"/>
        </w:rPr>
      </w:pPr>
      <w:r>
        <w:rPr>
          <w:rFonts w:ascii="Calibri" w:cs="Calibri" w:eastAsia="Calibri" w:hAnsi="Calibri"/>
          <w:sz w:val="14"/>
          <w:szCs w:val="14"/>
          <w:color w:val="auto"/>
        </w:rPr>
        <w:t>-22-</w:t>
      </w:r>
    </w:p>
    <w:p>
      <w:pPr>
        <w:sectPr>
          <w:pgSz w:w="11900" w:h="16838" w:orient="portrait"/>
          <w:cols w:equalWidth="0" w:num="1">
            <w:col w:w="9019"/>
          </w:cols>
          <w:pgMar w:left="1440" w:top="234" w:right="1440" w:bottom="1440" w:gutter="0" w:footer="0" w:header="0"/>
        </w:sectPr>
      </w:pPr>
    </w:p>
    <w:bookmarkStart w:id="65" w:name="page66"/>
    <w:bookmarkEnd w:id="65"/>
    <w:p>
      <w:pPr>
        <w:jc w:val="center"/>
        <w:ind w:right="19"/>
        <w:spacing w:after="0"/>
        <w:rPr>
          <w:sz w:val="20"/>
          <w:szCs w:val="20"/>
          <w:color w:val="auto"/>
        </w:rPr>
      </w:pPr>
      <w:r>
        <w:rPr>
          <w:rFonts w:ascii="Calibri" w:cs="Calibri" w:eastAsia="Calibri" w:hAnsi="Calibri"/>
          <w:sz w:val="14"/>
          <w:szCs w:val="14"/>
          <w:b w:val="1"/>
          <w:bCs w:val="1"/>
          <w:color w:val="auto"/>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93">
                      <a:extLst>
                        <a:ext uri="{28A0092B-C50C-407E-A947-70E740481C1C}"/>
                      </a:extLst>
                    </a:blip>
                    <a:srcRect/>
                    <a:stretch>
                      <a:fillRect/>
                    </a:stretch>
                  </pic:blipFill>
                  <pic:spPr bwMode="auto">
                    <a:xfrm>
                      <a:off x="0" y="0"/>
                      <a:ext cx="7201535" cy="32385"/>
                    </a:xfrm>
                    <a:prstGeom prst="rect">
                      <a:avLst/>
                    </a:prstGeom>
                    <a:noFill/>
                  </pic:spPr>
                </pic:pic>
              </a:graphicData>
            </a:graphic>
          </wp:anchor>
        </w:drawing>
        <w:t>DESCRIPTION OF UNITS</w:t>
      </w:r>
    </w:p>
    <w:p>
      <w:pPr>
        <w:spacing w:after="0" w:line="169" w:lineRule="exact"/>
        <w:rPr>
          <w:sz w:val="20"/>
          <w:szCs w:val="20"/>
          <w:color w:val="auto"/>
        </w:rPr>
      </w:pPr>
    </w:p>
    <w:p>
      <w:pPr>
        <w:ind w:left="220" w:right="299" w:firstLine="343"/>
        <w:spacing w:after="0" w:line="235" w:lineRule="auto"/>
        <w:rPr>
          <w:sz w:val="20"/>
          <w:szCs w:val="20"/>
          <w:color w:val="auto"/>
        </w:rPr>
      </w:pPr>
      <w:r>
        <w:rPr>
          <w:rFonts w:ascii="Calibri" w:cs="Calibri" w:eastAsia="Calibri" w:hAnsi="Calibri"/>
          <w:sz w:val="14"/>
          <w:szCs w:val="14"/>
          <w:color w:val="auto"/>
        </w:rPr>
        <w:t>We may ofer units comprising two or more securites described in this prospectus in any combinaton. For example, we might issue units consistng of a combinaton of debt securites and warrants to purchase common stock. The following descripton sets forth certain general terms and provisions of the units that we may ofer pursuant to this prospectus. The partcular terms of the units and the extent, if any, to which the general terms and provisions may apply to the units so ofered will be described in the applicable prospectus supplement.</w:t>
      </w:r>
    </w:p>
    <w:p>
      <w:pPr>
        <w:spacing w:after="0" w:line="171" w:lineRule="exact"/>
        <w:rPr>
          <w:sz w:val="20"/>
          <w:szCs w:val="20"/>
          <w:color w:val="auto"/>
        </w:rPr>
      </w:pPr>
    </w:p>
    <w:p>
      <w:pPr>
        <w:ind w:left="220" w:right="239" w:firstLine="343"/>
        <w:spacing w:after="0" w:line="235" w:lineRule="auto"/>
        <w:rPr>
          <w:sz w:val="20"/>
          <w:szCs w:val="20"/>
          <w:color w:val="auto"/>
        </w:rPr>
      </w:pPr>
      <w:r>
        <w:rPr>
          <w:rFonts w:ascii="Calibri" w:cs="Calibri" w:eastAsia="Calibri" w:hAnsi="Calibri"/>
          <w:sz w:val="14"/>
          <w:szCs w:val="14"/>
          <w:color w:val="auto"/>
        </w:rPr>
        <w:t>Each unit will be issued so that the holder of the unit also is the holder of each security included in the unit. Thus, the unit will have the rights and obligatons of a holder of each included security. Units will be issued pursuant to the terms of a unit agreement, which may provide that the securites included in the unit may not be held or transferred separately at any tme or at any tme before a specifed date. A copy of the forms of the unit agreement and the unit certfcate relatng to any partcular issue of units will be fled with the SEC each tme we issue units, and you should read those documents for provisions that may be important to you. For more informaton on how you can obtain copies of the forms of the unit agreement and the related unit certfcate, see the secton ttled “Where You Can Find More Informaton.”</w:t>
      </w:r>
    </w:p>
    <w:p>
      <w:pPr>
        <w:spacing w:after="0" w:line="172" w:lineRule="exact"/>
        <w:rPr>
          <w:sz w:val="20"/>
          <w:szCs w:val="20"/>
          <w:color w:val="auto"/>
        </w:rPr>
      </w:pPr>
    </w:p>
    <w:p>
      <w:pPr>
        <w:ind w:left="220" w:right="299" w:firstLine="343"/>
        <w:spacing w:after="0" w:line="235" w:lineRule="auto"/>
        <w:rPr>
          <w:sz w:val="20"/>
          <w:szCs w:val="20"/>
          <w:color w:val="auto"/>
        </w:rPr>
      </w:pPr>
      <w:r>
        <w:rPr>
          <w:rFonts w:ascii="Calibri" w:cs="Calibri" w:eastAsia="Calibri" w:hAnsi="Calibri"/>
          <w:sz w:val="14"/>
          <w:szCs w:val="14"/>
          <w:color w:val="auto"/>
        </w:rPr>
        <w:t>The prospectus supplement relatng to any partcular issuance of units will describe the terms of those units, including, to the extent applicable, the following:</w:t>
      </w:r>
    </w:p>
    <w:p>
      <w:pPr>
        <w:spacing w:after="0" w:line="96" w:lineRule="exact"/>
        <w:rPr>
          <w:sz w:val="20"/>
          <w:szCs w:val="20"/>
          <w:color w:val="auto"/>
        </w:rPr>
      </w:pPr>
    </w:p>
    <w:p>
      <w:pPr>
        <w:ind w:left="980" w:right="619" w:hanging="341"/>
        <w:spacing w:after="0" w:line="235" w:lineRule="auto"/>
        <w:tabs>
          <w:tab w:leader="none" w:pos="980" w:val="left"/>
        </w:tabs>
        <w:numPr>
          <w:ilvl w:val="0"/>
          <w:numId w:val="40"/>
        </w:numPr>
        <w:rPr>
          <w:rFonts w:ascii="Calibri" w:cs="Calibri" w:eastAsia="Calibri" w:hAnsi="Calibri"/>
          <w:sz w:val="14"/>
          <w:szCs w:val="14"/>
          <w:color w:val="auto"/>
        </w:rPr>
      </w:pPr>
      <w:r>
        <w:rPr>
          <w:rFonts w:ascii="Calibri" w:cs="Calibri" w:eastAsia="Calibri" w:hAnsi="Calibri"/>
          <w:sz w:val="14"/>
          <w:szCs w:val="14"/>
          <w:color w:val="auto"/>
        </w:rPr>
        <w:t>the designaton and terms of the units and the securites comprising the units, including whether and under what circumstances those securites may be held or transferred separately;</w:t>
      </w:r>
    </w:p>
    <w:p>
      <w:pPr>
        <w:spacing w:after="0" w:line="92" w:lineRule="exact"/>
        <w:rPr>
          <w:rFonts w:ascii="Calibri" w:cs="Calibri" w:eastAsia="Calibri" w:hAnsi="Calibri"/>
          <w:sz w:val="14"/>
          <w:szCs w:val="14"/>
          <w:color w:val="auto"/>
        </w:rPr>
      </w:pPr>
    </w:p>
    <w:p>
      <w:pPr>
        <w:ind w:left="980" w:hanging="341"/>
        <w:spacing w:after="0"/>
        <w:tabs>
          <w:tab w:leader="none" w:pos="980" w:val="left"/>
        </w:tabs>
        <w:numPr>
          <w:ilvl w:val="0"/>
          <w:numId w:val="40"/>
        </w:numPr>
        <w:rPr>
          <w:rFonts w:ascii="Calibri" w:cs="Calibri" w:eastAsia="Calibri" w:hAnsi="Calibri"/>
          <w:sz w:val="14"/>
          <w:szCs w:val="14"/>
          <w:color w:val="auto"/>
        </w:rPr>
      </w:pPr>
      <w:r>
        <w:rPr>
          <w:rFonts w:ascii="Calibri" w:cs="Calibri" w:eastAsia="Calibri" w:hAnsi="Calibri"/>
          <w:sz w:val="14"/>
          <w:szCs w:val="14"/>
          <w:color w:val="auto"/>
        </w:rPr>
        <w:t>any provision for the issuance, payment, setlement, transfer or exchange of the units or of the securites comprising the units; and</w:t>
      </w:r>
    </w:p>
    <w:p>
      <w:pPr>
        <w:spacing w:after="0" w:line="91" w:lineRule="exact"/>
        <w:rPr>
          <w:rFonts w:ascii="Calibri" w:cs="Calibri" w:eastAsia="Calibri" w:hAnsi="Calibri"/>
          <w:sz w:val="14"/>
          <w:szCs w:val="14"/>
          <w:color w:val="auto"/>
        </w:rPr>
      </w:pPr>
    </w:p>
    <w:p>
      <w:pPr>
        <w:ind w:left="980" w:hanging="341"/>
        <w:spacing w:after="0"/>
        <w:tabs>
          <w:tab w:leader="none" w:pos="980" w:val="left"/>
        </w:tabs>
        <w:numPr>
          <w:ilvl w:val="0"/>
          <w:numId w:val="40"/>
        </w:numPr>
        <w:rPr>
          <w:rFonts w:ascii="Calibri" w:cs="Calibri" w:eastAsia="Calibri" w:hAnsi="Calibri"/>
          <w:sz w:val="14"/>
          <w:szCs w:val="14"/>
          <w:color w:val="auto"/>
        </w:rPr>
      </w:pPr>
      <w:r>
        <w:rPr>
          <w:rFonts w:ascii="Calibri" w:cs="Calibri" w:eastAsia="Calibri" w:hAnsi="Calibri"/>
          <w:sz w:val="14"/>
          <w:szCs w:val="14"/>
          <w:color w:val="auto"/>
        </w:rPr>
        <w:t>whether the units will be issued in fully registered or global form.</w:t>
      </w:r>
    </w:p>
    <w:p>
      <w:pPr>
        <w:spacing w:after="0" w:line="113" w:lineRule="exact"/>
        <w:rPr>
          <w:sz w:val="20"/>
          <w:szCs w:val="20"/>
          <w:color w:val="auto"/>
        </w:rPr>
      </w:pPr>
    </w:p>
    <w:p>
      <w:pPr>
        <w:jc w:val="center"/>
        <w:ind w:right="19"/>
        <w:spacing w:after="0"/>
        <w:rPr>
          <w:sz w:val="20"/>
          <w:szCs w:val="20"/>
          <w:color w:val="auto"/>
        </w:rPr>
      </w:pPr>
      <w:r>
        <w:rPr>
          <w:rFonts w:ascii="Calibri" w:cs="Calibri" w:eastAsia="Calibri" w:hAnsi="Calibri"/>
          <w:sz w:val="14"/>
          <w:szCs w:val="14"/>
          <w:color w:val="auto"/>
        </w:rPr>
        <w:t>-23-</w:t>
      </w:r>
    </w:p>
    <w:p>
      <w:pPr>
        <w:sectPr>
          <w:pgSz w:w="11900" w:h="16838" w:orient="portrait"/>
          <w:cols w:equalWidth="0" w:num="1">
            <w:col w:w="9019"/>
          </w:cols>
          <w:pgMar w:left="1440" w:top="234" w:right="1440" w:bottom="1440" w:gutter="0" w:footer="0" w:header="0"/>
        </w:sectPr>
      </w:pPr>
    </w:p>
    <w:bookmarkStart w:id="66" w:name="page67"/>
    <w:bookmarkEnd w:id="66"/>
    <w:p>
      <w:pPr>
        <w:jc w:val="center"/>
        <w:spacing w:after="0"/>
        <w:rPr>
          <w:sz w:val="20"/>
          <w:szCs w:val="20"/>
          <w:color w:val="auto"/>
        </w:rPr>
      </w:pPr>
      <w:r>
        <w:rPr>
          <w:rFonts w:ascii="Calibri" w:cs="Calibri" w:eastAsia="Calibri" w:hAnsi="Calibri"/>
          <w:sz w:val="14"/>
          <w:szCs w:val="14"/>
          <w:b w:val="1"/>
          <w:bCs w:val="1"/>
          <w:color w:val="auto"/>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94">
                      <a:extLst>
                        <a:ext uri="{28A0092B-C50C-407E-A947-70E740481C1C}"/>
                      </a:extLst>
                    </a:blip>
                    <a:srcRect/>
                    <a:stretch>
                      <a:fillRect/>
                    </a:stretch>
                  </pic:blipFill>
                  <pic:spPr bwMode="auto">
                    <a:xfrm>
                      <a:off x="0" y="0"/>
                      <a:ext cx="7201535" cy="33020"/>
                    </a:xfrm>
                    <a:prstGeom prst="rect">
                      <a:avLst/>
                    </a:prstGeom>
                    <a:noFill/>
                  </pic:spPr>
                </pic:pic>
              </a:graphicData>
            </a:graphic>
          </wp:anchor>
        </w:drawing>
        <w:t>PLAN OF DISTRIBUTION</w:t>
      </w:r>
    </w:p>
    <w:p>
      <w:pPr>
        <w:spacing w:after="0" w:line="165" w:lineRule="exact"/>
        <w:rPr>
          <w:sz w:val="20"/>
          <w:szCs w:val="20"/>
          <w:color w:val="auto"/>
        </w:rPr>
      </w:pPr>
    </w:p>
    <w:p>
      <w:pPr>
        <w:ind w:left="560"/>
        <w:spacing w:after="0"/>
        <w:rPr>
          <w:sz w:val="20"/>
          <w:szCs w:val="20"/>
          <w:color w:val="auto"/>
        </w:rPr>
      </w:pPr>
      <w:r>
        <w:rPr>
          <w:rFonts w:ascii="Calibri" w:cs="Calibri" w:eastAsia="Calibri" w:hAnsi="Calibri"/>
          <w:sz w:val="14"/>
          <w:szCs w:val="14"/>
          <w:color w:val="auto"/>
        </w:rPr>
        <w:t>We may sell securites:</w:t>
      </w:r>
    </w:p>
    <w:p>
      <w:pPr>
        <w:spacing w:after="0" w:line="92" w:lineRule="exact"/>
        <w:rPr>
          <w:sz w:val="20"/>
          <w:szCs w:val="20"/>
          <w:color w:val="auto"/>
        </w:rPr>
      </w:pPr>
    </w:p>
    <w:p>
      <w:pPr>
        <w:ind w:left="980" w:hanging="341"/>
        <w:spacing w:after="0"/>
        <w:tabs>
          <w:tab w:leader="none" w:pos="980" w:val="left"/>
        </w:tabs>
        <w:numPr>
          <w:ilvl w:val="0"/>
          <w:numId w:val="41"/>
        </w:numPr>
        <w:rPr>
          <w:rFonts w:ascii="Calibri" w:cs="Calibri" w:eastAsia="Calibri" w:hAnsi="Calibri"/>
          <w:sz w:val="14"/>
          <w:szCs w:val="14"/>
          <w:color w:val="auto"/>
        </w:rPr>
      </w:pPr>
      <w:r>
        <w:rPr>
          <w:rFonts w:ascii="Calibri" w:cs="Calibri" w:eastAsia="Calibri" w:hAnsi="Calibri"/>
          <w:sz w:val="14"/>
          <w:szCs w:val="14"/>
          <w:color w:val="auto"/>
        </w:rPr>
        <w:t>through underwriters;</w:t>
      </w:r>
    </w:p>
    <w:p>
      <w:pPr>
        <w:spacing w:after="0" w:line="91" w:lineRule="exact"/>
        <w:rPr>
          <w:rFonts w:ascii="Calibri" w:cs="Calibri" w:eastAsia="Calibri" w:hAnsi="Calibri"/>
          <w:sz w:val="14"/>
          <w:szCs w:val="14"/>
          <w:color w:val="auto"/>
        </w:rPr>
      </w:pPr>
    </w:p>
    <w:p>
      <w:pPr>
        <w:ind w:left="980" w:hanging="341"/>
        <w:spacing w:after="0"/>
        <w:tabs>
          <w:tab w:leader="none" w:pos="980" w:val="left"/>
        </w:tabs>
        <w:numPr>
          <w:ilvl w:val="0"/>
          <w:numId w:val="41"/>
        </w:numPr>
        <w:rPr>
          <w:rFonts w:ascii="Calibri" w:cs="Calibri" w:eastAsia="Calibri" w:hAnsi="Calibri"/>
          <w:sz w:val="14"/>
          <w:szCs w:val="14"/>
          <w:color w:val="auto"/>
        </w:rPr>
      </w:pPr>
      <w:r>
        <w:rPr>
          <w:rFonts w:ascii="Calibri" w:cs="Calibri" w:eastAsia="Calibri" w:hAnsi="Calibri"/>
          <w:sz w:val="14"/>
          <w:szCs w:val="14"/>
          <w:color w:val="auto"/>
        </w:rPr>
        <w:t>through dealers;</w:t>
      </w:r>
    </w:p>
    <w:p>
      <w:pPr>
        <w:spacing w:after="0" w:line="91" w:lineRule="exact"/>
        <w:rPr>
          <w:rFonts w:ascii="Calibri" w:cs="Calibri" w:eastAsia="Calibri" w:hAnsi="Calibri"/>
          <w:sz w:val="14"/>
          <w:szCs w:val="14"/>
          <w:color w:val="auto"/>
        </w:rPr>
      </w:pPr>
    </w:p>
    <w:p>
      <w:pPr>
        <w:ind w:left="980" w:hanging="341"/>
        <w:spacing w:after="0"/>
        <w:tabs>
          <w:tab w:leader="none" w:pos="980" w:val="left"/>
        </w:tabs>
        <w:numPr>
          <w:ilvl w:val="0"/>
          <w:numId w:val="41"/>
        </w:numPr>
        <w:rPr>
          <w:rFonts w:ascii="Calibri" w:cs="Calibri" w:eastAsia="Calibri" w:hAnsi="Calibri"/>
          <w:sz w:val="14"/>
          <w:szCs w:val="14"/>
          <w:color w:val="auto"/>
        </w:rPr>
      </w:pPr>
      <w:r>
        <w:rPr>
          <w:rFonts w:ascii="Calibri" w:cs="Calibri" w:eastAsia="Calibri" w:hAnsi="Calibri"/>
          <w:sz w:val="14"/>
          <w:szCs w:val="14"/>
          <w:color w:val="auto"/>
        </w:rPr>
        <w:t>through agents;</w:t>
      </w:r>
    </w:p>
    <w:p>
      <w:pPr>
        <w:spacing w:after="0" w:line="91" w:lineRule="exact"/>
        <w:rPr>
          <w:rFonts w:ascii="Calibri" w:cs="Calibri" w:eastAsia="Calibri" w:hAnsi="Calibri"/>
          <w:sz w:val="14"/>
          <w:szCs w:val="14"/>
          <w:color w:val="auto"/>
        </w:rPr>
      </w:pPr>
    </w:p>
    <w:p>
      <w:pPr>
        <w:ind w:left="980" w:hanging="341"/>
        <w:spacing w:after="0"/>
        <w:tabs>
          <w:tab w:leader="none" w:pos="980" w:val="left"/>
        </w:tabs>
        <w:numPr>
          <w:ilvl w:val="0"/>
          <w:numId w:val="41"/>
        </w:numPr>
        <w:rPr>
          <w:rFonts w:ascii="Calibri" w:cs="Calibri" w:eastAsia="Calibri" w:hAnsi="Calibri"/>
          <w:sz w:val="14"/>
          <w:szCs w:val="14"/>
          <w:color w:val="auto"/>
        </w:rPr>
      </w:pPr>
      <w:r>
        <w:rPr>
          <w:rFonts w:ascii="Calibri" w:cs="Calibri" w:eastAsia="Calibri" w:hAnsi="Calibri"/>
          <w:sz w:val="14"/>
          <w:szCs w:val="14"/>
          <w:color w:val="auto"/>
        </w:rPr>
        <w:t>directly to purchasers; or</w:t>
      </w:r>
    </w:p>
    <w:p>
      <w:pPr>
        <w:spacing w:after="0" w:line="91" w:lineRule="exact"/>
        <w:rPr>
          <w:rFonts w:ascii="Calibri" w:cs="Calibri" w:eastAsia="Calibri" w:hAnsi="Calibri"/>
          <w:sz w:val="14"/>
          <w:szCs w:val="14"/>
          <w:color w:val="auto"/>
        </w:rPr>
      </w:pPr>
    </w:p>
    <w:p>
      <w:pPr>
        <w:ind w:left="980" w:hanging="341"/>
        <w:spacing w:after="0"/>
        <w:tabs>
          <w:tab w:leader="none" w:pos="980" w:val="left"/>
        </w:tabs>
        <w:numPr>
          <w:ilvl w:val="0"/>
          <w:numId w:val="41"/>
        </w:numPr>
        <w:rPr>
          <w:rFonts w:ascii="Calibri" w:cs="Calibri" w:eastAsia="Calibri" w:hAnsi="Calibri"/>
          <w:sz w:val="14"/>
          <w:szCs w:val="14"/>
          <w:color w:val="auto"/>
        </w:rPr>
      </w:pPr>
      <w:r>
        <w:rPr>
          <w:rFonts w:ascii="Calibri" w:cs="Calibri" w:eastAsia="Calibri" w:hAnsi="Calibri"/>
          <w:sz w:val="14"/>
          <w:szCs w:val="14"/>
          <w:color w:val="auto"/>
        </w:rPr>
        <w:t>through a combinaton of any of these methods of sale.</w:t>
      </w:r>
    </w:p>
    <w:p>
      <w:pPr>
        <w:spacing w:after="0" w:line="165" w:lineRule="exact"/>
        <w:rPr>
          <w:sz w:val="20"/>
          <w:szCs w:val="20"/>
          <w:color w:val="auto"/>
        </w:rPr>
      </w:pPr>
    </w:p>
    <w:p>
      <w:pPr>
        <w:ind w:left="560"/>
        <w:spacing w:after="0"/>
        <w:rPr>
          <w:sz w:val="20"/>
          <w:szCs w:val="20"/>
          <w:color w:val="auto"/>
        </w:rPr>
      </w:pPr>
      <w:r>
        <w:rPr>
          <w:rFonts w:ascii="Calibri" w:cs="Calibri" w:eastAsia="Calibri" w:hAnsi="Calibri"/>
          <w:sz w:val="14"/>
          <w:szCs w:val="14"/>
          <w:color w:val="auto"/>
        </w:rPr>
        <w:t>In additon, we may issue the securites as a dividend or distributon or in a subscripton rights ofering to our existng securityholders.</w:t>
      </w:r>
    </w:p>
    <w:p>
      <w:pPr>
        <w:spacing w:after="0" w:line="169" w:lineRule="exact"/>
        <w:rPr>
          <w:sz w:val="20"/>
          <w:szCs w:val="20"/>
          <w:color w:val="auto"/>
        </w:rPr>
      </w:pPr>
    </w:p>
    <w:p>
      <w:pPr>
        <w:ind w:left="220" w:right="239" w:firstLine="343"/>
        <w:spacing w:after="0" w:line="235" w:lineRule="auto"/>
        <w:rPr>
          <w:sz w:val="20"/>
          <w:szCs w:val="20"/>
          <w:color w:val="auto"/>
        </w:rPr>
      </w:pPr>
      <w:r>
        <w:rPr>
          <w:rFonts w:ascii="Calibri" w:cs="Calibri" w:eastAsia="Calibri" w:hAnsi="Calibri"/>
          <w:sz w:val="14"/>
          <w:szCs w:val="14"/>
          <w:color w:val="auto"/>
        </w:rPr>
        <w:t>We may directly solicit ofers to purchase securites or agents may be designated to solicit such ofers. We will, in the prospectus supplement relatng to such ofering, name any agent that could be viewed as an underwriter under the Securites Act and describe any commissions that we must pay. Any such agent will be actng on a best eforts basis for the period of its appointment or, if indicated in the applicable prospectus supplement, on a frm commitment basis. This prospectus may be used in connecton with any ofering of our securites through any of these methods or other methods described in the applicable prospectus supplement.</w:t>
      </w:r>
    </w:p>
    <w:p>
      <w:pPr>
        <w:spacing w:after="0" w:line="168" w:lineRule="exact"/>
        <w:rPr>
          <w:sz w:val="20"/>
          <w:szCs w:val="20"/>
          <w:color w:val="auto"/>
        </w:rPr>
      </w:pPr>
    </w:p>
    <w:p>
      <w:pPr>
        <w:ind w:left="560"/>
        <w:spacing w:after="0"/>
        <w:rPr>
          <w:sz w:val="20"/>
          <w:szCs w:val="20"/>
          <w:color w:val="auto"/>
        </w:rPr>
      </w:pPr>
      <w:r>
        <w:rPr>
          <w:rFonts w:ascii="Calibri" w:cs="Calibri" w:eastAsia="Calibri" w:hAnsi="Calibri"/>
          <w:sz w:val="14"/>
          <w:szCs w:val="14"/>
          <w:color w:val="auto"/>
        </w:rPr>
        <w:t>The distributon of the securites may be efected from tme to tme in one or more transactons:</w:t>
      </w:r>
    </w:p>
    <w:p>
      <w:pPr>
        <w:spacing w:after="0" w:line="92" w:lineRule="exact"/>
        <w:rPr>
          <w:sz w:val="20"/>
          <w:szCs w:val="20"/>
          <w:color w:val="auto"/>
        </w:rPr>
      </w:pPr>
    </w:p>
    <w:p>
      <w:pPr>
        <w:ind w:left="980" w:hanging="341"/>
        <w:spacing w:after="0"/>
        <w:tabs>
          <w:tab w:leader="none" w:pos="980" w:val="left"/>
        </w:tabs>
        <w:numPr>
          <w:ilvl w:val="0"/>
          <w:numId w:val="42"/>
        </w:numPr>
        <w:rPr>
          <w:rFonts w:ascii="Calibri" w:cs="Calibri" w:eastAsia="Calibri" w:hAnsi="Calibri"/>
          <w:sz w:val="14"/>
          <w:szCs w:val="14"/>
          <w:color w:val="auto"/>
        </w:rPr>
      </w:pPr>
      <w:r>
        <w:rPr>
          <w:rFonts w:ascii="Calibri" w:cs="Calibri" w:eastAsia="Calibri" w:hAnsi="Calibri"/>
          <w:sz w:val="14"/>
          <w:szCs w:val="14"/>
          <w:color w:val="auto"/>
        </w:rPr>
        <w:t>at a fxed price or prices that may be changed from tme to tme;</w:t>
      </w:r>
    </w:p>
    <w:p>
      <w:pPr>
        <w:spacing w:after="0" w:line="91" w:lineRule="exact"/>
        <w:rPr>
          <w:rFonts w:ascii="Calibri" w:cs="Calibri" w:eastAsia="Calibri" w:hAnsi="Calibri"/>
          <w:sz w:val="14"/>
          <w:szCs w:val="14"/>
          <w:color w:val="auto"/>
        </w:rPr>
      </w:pPr>
    </w:p>
    <w:p>
      <w:pPr>
        <w:ind w:left="980" w:hanging="341"/>
        <w:spacing w:after="0"/>
        <w:tabs>
          <w:tab w:leader="none" w:pos="980" w:val="left"/>
        </w:tabs>
        <w:numPr>
          <w:ilvl w:val="0"/>
          <w:numId w:val="42"/>
        </w:numPr>
        <w:rPr>
          <w:rFonts w:ascii="Calibri" w:cs="Calibri" w:eastAsia="Calibri" w:hAnsi="Calibri"/>
          <w:sz w:val="14"/>
          <w:szCs w:val="14"/>
          <w:color w:val="auto"/>
        </w:rPr>
      </w:pPr>
      <w:r>
        <w:rPr>
          <w:rFonts w:ascii="Calibri" w:cs="Calibri" w:eastAsia="Calibri" w:hAnsi="Calibri"/>
          <w:sz w:val="14"/>
          <w:szCs w:val="14"/>
          <w:color w:val="auto"/>
        </w:rPr>
        <w:t>at market prices prevailing at the tme of sale;</w:t>
      </w:r>
    </w:p>
    <w:p>
      <w:pPr>
        <w:spacing w:after="0" w:line="91" w:lineRule="exact"/>
        <w:rPr>
          <w:rFonts w:ascii="Calibri" w:cs="Calibri" w:eastAsia="Calibri" w:hAnsi="Calibri"/>
          <w:sz w:val="14"/>
          <w:szCs w:val="14"/>
          <w:color w:val="auto"/>
        </w:rPr>
      </w:pPr>
    </w:p>
    <w:p>
      <w:pPr>
        <w:ind w:left="980" w:hanging="341"/>
        <w:spacing w:after="0"/>
        <w:tabs>
          <w:tab w:leader="none" w:pos="980" w:val="left"/>
        </w:tabs>
        <w:numPr>
          <w:ilvl w:val="0"/>
          <w:numId w:val="42"/>
        </w:numPr>
        <w:rPr>
          <w:rFonts w:ascii="Calibri" w:cs="Calibri" w:eastAsia="Calibri" w:hAnsi="Calibri"/>
          <w:sz w:val="14"/>
          <w:szCs w:val="14"/>
          <w:color w:val="auto"/>
        </w:rPr>
      </w:pPr>
      <w:r>
        <w:rPr>
          <w:rFonts w:ascii="Calibri" w:cs="Calibri" w:eastAsia="Calibri" w:hAnsi="Calibri"/>
          <w:sz w:val="14"/>
          <w:szCs w:val="14"/>
          <w:color w:val="auto"/>
        </w:rPr>
        <w:t>at prices related to such prevailing market prices; or</w:t>
      </w:r>
    </w:p>
    <w:p>
      <w:pPr>
        <w:spacing w:after="0" w:line="91" w:lineRule="exact"/>
        <w:rPr>
          <w:rFonts w:ascii="Calibri" w:cs="Calibri" w:eastAsia="Calibri" w:hAnsi="Calibri"/>
          <w:sz w:val="14"/>
          <w:szCs w:val="14"/>
          <w:color w:val="auto"/>
        </w:rPr>
      </w:pPr>
    </w:p>
    <w:p>
      <w:pPr>
        <w:ind w:left="980" w:hanging="341"/>
        <w:spacing w:after="0"/>
        <w:tabs>
          <w:tab w:leader="none" w:pos="980" w:val="left"/>
        </w:tabs>
        <w:numPr>
          <w:ilvl w:val="0"/>
          <w:numId w:val="42"/>
        </w:numPr>
        <w:rPr>
          <w:rFonts w:ascii="Calibri" w:cs="Calibri" w:eastAsia="Calibri" w:hAnsi="Calibri"/>
          <w:sz w:val="14"/>
          <w:szCs w:val="14"/>
          <w:color w:val="auto"/>
        </w:rPr>
      </w:pPr>
      <w:r>
        <w:rPr>
          <w:rFonts w:ascii="Calibri" w:cs="Calibri" w:eastAsia="Calibri" w:hAnsi="Calibri"/>
          <w:sz w:val="14"/>
          <w:szCs w:val="14"/>
          <w:color w:val="auto"/>
        </w:rPr>
        <w:t>at negotated prices.</w:t>
      </w:r>
    </w:p>
    <w:p>
      <w:pPr>
        <w:spacing w:after="0" w:line="165" w:lineRule="exact"/>
        <w:rPr>
          <w:sz w:val="20"/>
          <w:szCs w:val="20"/>
          <w:color w:val="auto"/>
        </w:rPr>
      </w:pPr>
    </w:p>
    <w:p>
      <w:pPr>
        <w:ind w:left="560"/>
        <w:spacing w:after="0"/>
        <w:rPr>
          <w:sz w:val="20"/>
          <w:szCs w:val="20"/>
          <w:color w:val="auto"/>
        </w:rPr>
      </w:pPr>
      <w:r>
        <w:rPr>
          <w:rFonts w:ascii="Calibri" w:cs="Calibri" w:eastAsia="Calibri" w:hAnsi="Calibri"/>
          <w:sz w:val="14"/>
          <w:szCs w:val="14"/>
          <w:color w:val="auto"/>
        </w:rPr>
        <w:t>Each prospectus supplement will describe the method of distributon of the securites and any applicable restrictons.</w:t>
      </w:r>
    </w:p>
    <w:p>
      <w:pPr>
        <w:spacing w:after="0" w:line="169" w:lineRule="exact"/>
        <w:rPr>
          <w:sz w:val="20"/>
          <w:szCs w:val="20"/>
          <w:color w:val="auto"/>
        </w:rPr>
      </w:pPr>
    </w:p>
    <w:p>
      <w:pPr>
        <w:ind w:left="220" w:right="299" w:firstLine="343"/>
        <w:spacing w:after="0" w:line="235" w:lineRule="auto"/>
        <w:rPr>
          <w:sz w:val="20"/>
          <w:szCs w:val="20"/>
          <w:color w:val="auto"/>
        </w:rPr>
      </w:pPr>
      <w:r>
        <w:rPr>
          <w:rFonts w:ascii="Calibri" w:cs="Calibri" w:eastAsia="Calibri" w:hAnsi="Calibri"/>
          <w:sz w:val="14"/>
          <w:szCs w:val="14"/>
          <w:color w:val="auto"/>
        </w:rPr>
        <w:t>The prospectus supplement with respect to the securites of a partcular series will describe the terms of the ofering of the securites, including the following:</w:t>
      </w:r>
    </w:p>
    <w:p>
      <w:pPr>
        <w:spacing w:after="0" w:line="92" w:lineRule="exact"/>
        <w:rPr>
          <w:sz w:val="20"/>
          <w:szCs w:val="20"/>
          <w:color w:val="auto"/>
        </w:rPr>
      </w:pPr>
    </w:p>
    <w:p>
      <w:pPr>
        <w:ind w:left="980" w:hanging="341"/>
        <w:spacing w:after="0"/>
        <w:tabs>
          <w:tab w:leader="none" w:pos="980" w:val="left"/>
        </w:tabs>
        <w:numPr>
          <w:ilvl w:val="0"/>
          <w:numId w:val="43"/>
        </w:numPr>
        <w:rPr>
          <w:rFonts w:ascii="Calibri" w:cs="Calibri" w:eastAsia="Calibri" w:hAnsi="Calibri"/>
          <w:sz w:val="14"/>
          <w:szCs w:val="14"/>
          <w:color w:val="auto"/>
        </w:rPr>
      </w:pPr>
      <w:r>
        <w:rPr>
          <w:rFonts w:ascii="Calibri" w:cs="Calibri" w:eastAsia="Calibri" w:hAnsi="Calibri"/>
          <w:sz w:val="14"/>
          <w:szCs w:val="14"/>
          <w:color w:val="auto"/>
        </w:rPr>
        <w:t>the name of the agent or any underwriters;</w:t>
      </w:r>
    </w:p>
    <w:p>
      <w:pPr>
        <w:spacing w:after="0" w:line="91" w:lineRule="exact"/>
        <w:rPr>
          <w:rFonts w:ascii="Calibri" w:cs="Calibri" w:eastAsia="Calibri" w:hAnsi="Calibri"/>
          <w:sz w:val="14"/>
          <w:szCs w:val="14"/>
          <w:color w:val="auto"/>
        </w:rPr>
      </w:pPr>
    </w:p>
    <w:p>
      <w:pPr>
        <w:ind w:left="980" w:hanging="341"/>
        <w:spacing w:after="0"/>
        <w:tabs>
          <w:tab w:leader="none" w:pos="980" w:val="left"/>
        </w:tabs>
        <w:numPr>
          <w:ilvl w:val="0"/>
          <w:numId w:val="43"/>
        </w:numPr>
        <w:rPr>
          <w:rFonts w:ascii="Calibri" w:cs="Calibri" w:eastAsia="Calibri" w:hAnsi="Calibri"/>
          <w:sz w:val="14"/>
          <w:szCs w:val="14"/>
          <w:color w:val="auto"/>
        </w:rPr>
      </w:pPr>
      <w:r>
        <w:rPr>
          <w:rFonts w:ascii="Calibri" w:cs="Calibri" w:eastAsia="Calibri" w:hAnsi="Calibri"/>
          <w:sz w:val="14"/>
          <w:szCs w:val="14"/>
          <w:color w:val="auto"/>
        </w:rPr>
        <w:t>the public ofering or purchase price;</w:t>
      </w:r>
    </w:p>
    <w:p>
      <w:pPr>
        <w:spacing w:after="0" w:line="91" w:lineRule="exact"/>
        <w:rPr>
          <w:rFonts w:ascii="Calibri" w:cs="Calibri" w:eastAsia="Calibri" w:hAnsi="Calibri"/>
          <w:sz w:val="14"/>
          <w:szCs w:val="14"/>
          <w:color w:val="auto"/>
        </w:rPr>
      </w:pPr>
    </w:p>
    <w:p>
      <w:pPr>
        <w:ind w:left="980" w:hanging="341"/>
        <w:spacing w:after="0"/>
        <w:tabs>
          <w:tab w:leader="none" w:pos="980" w:val="left"/>
        </w:tabs>
        <w:numPr>
          <w:ilvl w:val="0"/>
          <w:numId w:val="43"/>
        </w:numPr>
        <w:rPr>
          <w:rFonts w:ascii="Calibri" w:cs="Calibri" w:eastAsia="Calibri" w:hAnsi="Calibri"/>
          <w:sz w:val="14"/>
          <w:szCs w:val="14"/>
          <w:color w:val="auto"/>
        </w:rPr>
      </w:pPr>
      <w:r>
        <w:rPr>
          <w:rFonts w:ascii="Calibri" w:cs="Calibri" w:eastAsia="Calibri" w:hAnsi="Calibri"/>
          <w:sz w:val="14"/>
          <w:szCs w:val="14"/>
          <w:color w:val="auto"/>
        </w:rPr>
        <w:t>if applicable, the names of any selling securityholders;</w:t>
      </w:r>
    </w:p>
    <w:p>
      <w:pPr>
        <w:spacing w:after="0" w:line="91" w:lineRule="exact"/>
        <w:rPr>
          <w:rFonts w:ascii="Calibri" w:cs="Calibri" w:eastAsia="Calibri" w:hAnsi="Calibri"/>
          <w:sz w:val="14"/>
          <w:szCs w:val="14"/>
          <w:color w:val="auto"/>
        </w:rPr>
      </w:pPr>
    </w:p>
    <w:p>
      <w:pPr>
        <w:ind w:left="980" w:hanging="341"/>
        <w:spacing w:after="0"/>
        <w:tabs>
          <w:tab w:leader="none" w:pos="980" w:val="left"/>
        </w:tabs>
        <w:numPr>
          <w:ilvl w:val="0"/>
          <w:numId w:val="43"/>
        </w:numPr>
        <w:rPr>
          <w:rFonts w:ascii="Calibri" w:cs="Calibri" w:eastAsia="Calibri" w:hAnsi="Calibri"/>
          <w:sz w:val="14"/>
          <w:szCs w:val="14"/>
          <w:color w:val="auto"/>
        </w:rPr>
      </w:pPr>
      <w:r>
        <w:rPr>
          <w:rFonts w:ascii="Calibri" w:cs="Calibri" w:eastAsia="Calibri" w:hAnsi="Calibri"/>
          <w:sz w:val="14"/>
          <w:szCs w:val="14"/>
          <w:color w:val="auto"/>
        </w:rPr>
        <w:t>any discounts and commissions to be allowed or paid to the agent or underwriters;</w:t>
      </w:r>
    </w:p>
    <w:p>
      <w:pPr>
        <w:spacing w:after="0" w:line="91" w:lineRule="exact"/>
        <w:rPr>
          <w:rFonts w:ascii="Calibri" w:cs="Calibri" w:eastAsia="Calibri" w:hAnsi="Calibri"/>
          <w:sz w:val="14"/>
          <w:szCs w:val="14"/>
          <w:color w:val="auto"/>
        </w:rPr>
      </w:pPr>
    </w:p>
    <w:p>
      <w:pPr>
        <w:ind w:left="980" w:hanging="341"/>
        <w:spacing w:after="0"/>
        <w:tabs>
          <w:tab w:leader="none" w:pos="980" w:val="left"/>
        </w:tabs>
        <w:numPr>
          <w:ilvl w:val="0"/>
          <w:numId w:val="43"/>
        </w:numPr>
        <w:rPr>
          <w:rFonts w:ascii="Calibri" w:cs="Calibri" w:eastAsia="Calibri" w:hAnsi="Calibri"/>
          <w:sz w:val="14"/>
          <w:szCs w:val="14"/>
          <w:color w:val="auto"/>
        </w:rPr>
      </w:pPr>
      <w:r>
        <w:rPr>
          <w:rFonts w:ascii="Calibri" w:cs="Calibri" w:eastAsia="Calibri" w:hAnsi="Calibri"/>
          <w:sz w:val="14"/>
          <w:szCs w:val="14"/>
          <w:color w:val="auto"/>
        </w:rPr>
        <w:t>all other items consttutng underwritng compensaton;</w:t>
      </w:r>
    </w:p>
    <w:p>
      <w:pPr>
        <w:spacing w:after="0" w:line="91" w:lineRule="exact"/>
        <w:rPr>
          <w:rFonts w:ascii="Calibri" w:cs="Calibri" w:eastAsia="Calibri" w:hAnsi="Calibri"/>
          <w:sz w:val="14"/>
          <w:szCs w:val="14"/>
          <w:color w:val="auto"/>
        </w:rPr>
      </w:pPr>
    </w:p>
    <w:p>
      <w:pPr>
        <w:ind w:left="980" w:hanging="341"/>
        <w:spacing w:after="0"/>
        <w:tabs>
          <w:tab w:leader="none" w:pos="980" w:val="left"/>
        </w:tabs>
        <w:numPr>
          <w:ilvl w:val="0"/>
          <w:numId w:val="43"/>
        </w:numPr>
        <w:rPr>
          <w:rFonts w:ascii="Calibri" w:cs="Calibri" w:eastAsia="Calibri" w:hAnsi="Calibri"/>
          <w:sz w:val="14"/>
          <w:szCs w:val="14"/>
          <w:color w:val="auto"/>
        </w:rPr>
      </w:pPr>
      <w:r>
        <w:rPr>
          <w:rFonts w:ascii="Calibri" w:cs="Calibri" w:eastAsia="Calibri" w:hAnsi="Calibri"/>
          <w:sz w:val="14"/>
          <w:szCs w:val="14"/>
          <w:color w:val="auto"/>
        </w:rPr>
        <w:t>any discounts and commissions to be allowed or paid to dealers; and</w:t>
      </w:r>
    </w:p>
    <w:p>
      <w:pPr>
        <w:spacing w:after="0" w:line="91" w:lineRule="exact"/>
        <w:rPr>
          <w:rFonts w:ascii="Calibri" w:cs="Calibri" w:eastAsia="Calibri" w:hAnsi="Calibri"/>
          <w:sz w:val="14"/>
          <w:szCs w:val="14"/>
          <w:color w:val="auto"/>
        </w:rPr>
      </w:pPr>
    </w:p>
    <w:p>
      <w:pPr>
        <w:ind w:left="980" w:hanging="341"/>
        <w:spacing w:after="0"/>
        <w:tabs>
          <w:tab w:leader="none" w:pos="980" w:val="left"/>
        </w:tabs>
        <w:numPr>
          <w:ilvl w:val="0"/>
          <w:numId w:val="43"/>
        </w:numPr>
        <w:rPr>
          <w:rFonts w:ascii="Calibri" w:cs="Calibri" w:eastAsia="Calibri" w:hAnsi="Calibri"/>
          <w:sz w:val="14"/>
          <w:szCs w:val="14"/>
          <w:color w:val="auto"/>
        </w:rPr>
      </w:pPr>
      <w:r>
        <w:rPr>
          <w:rFonts w:ascii="Calibri" w:cs="Calibri" w:eastAsia="Calibri" w:hAnsi="Calibri"/>
          <w:sz w:val="14"/>
          <w:szCs w:val="14"/>
          <w:color w:val="auto"/>
        </w:rPr>
        <w:t>any exchanges on which the securites will be listed.</w:t>
      </w:r>
    </w:p>
    <w:p>
      <w:pPr>
        <w:spacing w:after="0" w:line="169" w:lineRule="exact"/>
        <w:rPr>
          <w:sz w:val="20"/>
          <w:szCs w:val="20"/>
          <w:color w:val="auto"/>
        </w:rPr>
      </w:pPr>
    </w:p>
    <w:p>
      <w:pPr>
        <w:ind w:left="220" w:right="439" w:firstLine="343"/>
        <w:spacing w:after="0" w:line="235" w:lineRule="auto"/>
        <w:rPr>
          <w:sz w:val="20"/>
          <w:szCs w:val="20"/>
          <w:color w:val="auto"/>
        </w:rPr>
      </w:pPr>
      <w:r>
        <w:rPr>
          <w:rFonts w:ascii="Calibri" w:cs="Calibri" w:eastAsia="Calibri" w:hAnsi="Calibri"/>
          <w:sz w:val="14"/>
          <w:szCs w:val="14"/>
          <w:color w:val="auto"/>
        </w:rPr>
        <w:t>If any underwriters or agents are utlized in the sale of the securites in respect of which this prospectus is delivered, we will enter into an underwritng agreement or other agreement with them at the tme of sale to them, and we will set forth in the prospectus supplement relatng to such ofering the names of the underwriters or agents and the terms of the related agreement with them.</w:t>
      </w:r>
    </w:p>
    <w:p>
      <w:pPr>
        <w:spacing w:after="0" w:line="170" w:lineRule="exact"/>
        <w:rPr>
          <w:sz w:val="20"/>
          <w:szCs w:val="20"/>
          <w:color w:val="auto"/>
        </w:rPr>
      </w:pPr>
    </w:p>
    <w:p>
      <w:pPr>
        <w:ind w:left="560"/>
        <w:spacing w:after="0"/>
        <w:rPr>
          <w:sz w:val="20"/>
          <w:szCs w:val="20"/>
          <w:color w:val="auto"/>
        </w:rPr>
      </w:pPr>
      <w:r>
        <w:rPr>
          <w:rFonts w:ascii="Calibri" w:cs="Calibri" w:eastAsia="Calibri" w:hAnsi="Calibri"/>
          <w:sz w:val="13"/>
          <w:szCs w:val="13"/>
          <w:color w:val="auto"/>
        </w:rPr>
        <w:t>If a dealer is utlized in the sale of the securites in respect of which the prospectus is delivered, we will sell such securites to the dealer, as principal.</w:t>
      </w:r>
    </w:p>
    <w:p>
      <w:pPr>
        <w:spacing w:after="0" w:line="5" w:lineRule="exact"/>
        <w:rPr>
          <w:sz w:val="20"/>
          <w:szCs w:val="20"/>
          <w:color w:val="auto"/>
        </w:rPr>
      </w:pPr>
    </w:p>
    <w:p>
      <w:pPr>
        <w:ind w:left="220"/>
        <w:spacing w:after="0"/>
        <w:rPr>
          <w:sz w:val="20"/>
          <w:szCs w:val="20"/>
          <w:color w:val="auto"/>
        </w:rPr>
      </w:pPr>
      <w:r>
        <w:rPr>
          <w:rFonts w:ascii="Calibri" w:cs="Calibri" w:eastAsia="Calibri" w:hAnsi="Calibri"/>
          <w:sz w:val="14"/>
          <w:szCs w:val="14"/>
          <w:color w:val="auto"/>
        </w:rPr>
        <w:t>The dealer may then resell such securites to the public at varying prices to be determined by such dealer at the tme of resale.</w:t>
      </w:r>
    </w:p>
    <w:p>
      <w:pPr>
        <w:spacing w:after="0" w:line="113" w:lineRule="exact"/>
        <w:rPr>
          <w:sz w:val="20"/>
          <w:szCs w:val="20"/>
          <w:color w:val="auto"/>
        </w:rPr>
      </w:pPr>
    </w:p>
    <w:p>
      <w:pPr>
        <w:jc w:val="center"/>
        <w:spacing w:after="0"/>
        <w:rPr>
          <w:sz w:val="20"/>
          <w:szCs w:val="20"/>
          <w:color w:val="auto"/>
        </w:rPr>
      </w:pPr>
      <w:r>
        <w:rPr>
          <w:rFonts w:ascii="Calibri" w:cs="Calibri" w:eastAsia="Calibri" w:hAnsi="Calibri"/>
          <w:sz w:val="14"/>
          <w:szCs w:val="14"/>
          <w:color w:val="auto"/>
        </w:rPr>
        <w:t>-24-</w:t>
      </w:r>
    </w:p>
    <w:p>
      <w:pPr>
        <w:sectPr>
          <w:pgSz w:w="11900" w:h="16838" w:orient="portrait"/>
          <w:cols w:equalWidth="0" w:num="1">
            <w:col w:w="9019"/>
          </w:cols>
          <w:pgMar w:left="1440" w:top="234" w:right="1440" w:bottom="1440" w:gutter="0" w:footer="0" w:header="0"/>
        </w:sectPr>
      </w:pPr>
    </w:p>
    <w:bookmarkStart w:id="67" w:name="page68"/>
    <w:bookmarkEnd w:id="67"/>
    <w:p>
      <w:pPr>
        <w:ind w:left="220" w:right="279" w:firstLine="343"/>
        <w:spacing w:after="0" w:line="260" w:lineRule="auto"/>
        <w:rPr>
          <w:sz w:val="20"/>
          <w:szCs w:val="20"/>
          <w:color w:val="auto"/>
        </w:rPr>
      </w:pPr>
      <w:r>
        <w:rPr>
          <w:rFonts w:ascii="Calibri" w:cs="Calibri" w:eastAsia="Calibri" w:hAnsi="Calibri"/>
          <w:sz w:val="13"/>
          <w:szCs w:val="13"/>
          <w:color w:val="auto"/>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95">
                      <a:extLst>
                        <a:ext uri="{28A0092B-C50C-407E-A947-70E740481C1C}"/>
                      </a:extLst>
                    </a:blip>
                    <a:srcRect/>
                    <a:stretch>
                      <a:fillRect/>
                    </a:stretch>
                  </pic:blipFill>
                  <pic:spPr bwMode="auto">
                    <a:xfrm>
                      <a:off x="0" y="0"/>
                      <a:ext cx="7201535" cy="33020"/>
                    </a:xfrm>
                    <a:prstGeom prst="rect">
                      <a:avLst/>
                    </a:prstGeom>
                    <a:noFill/>
                  </pic:spPr>
                </pic:pic>
              </a:graphicData>
            </a:graphic>
          </wp:anchor>
        </w:drawing>
        <w:t>If we ofer securites in a subscripton rights ofering to our existng securityholders, we may enter into a standby underwritng agreement with dealers, actng as standby underwriters. We may pay the standby underwriters a commitment fee for the securites they commit to purchase on a standby basis. If we do not enter into a standby underwritng arrangement, we may retain a dealer-manager to manage a subscripton rights ofering for us.</w:t>
      </w:r>
    </w:p>
    <w:p>
      <w:pPr>
        <w:spacing w:after="0" w:line="156" w:lineRule="exact"/>
        <w:rPr>
          <w:sz w:val="20"/>
          <w:szCs w:val="20"/>
          <w:color w:val="auto"/>
        </w:rPr>
      </w:pPr>
    </w:p>
    <w:p>
      <w:pPr>
        <w:ind w:left="220" w:right="239" w:firstLine="343"/>
        <w:spacing w:after="0" w:line="235" w:lineRule="auto"/>
        <w:rPr>
          <w:sz w:val="20"/>
          <w:szCs w:val="20"/>
          <w:color w:val="auto"/>
        </w:rPr>
      </w:pPr>
      <w:r>
        <w:rPr>
          <w:rFonts w:ascii="Calibri" w:cs="Calibri" w:eastAsia="Calibri" w:hAnsi="Calibri"/>
          <w:sz w:val="14"/>
          <w:szCs w:val="14"/>
          <w:color w:val="auto"/>
        </w:rPr>
        <w:t>Agents, underwriters, dealers and other persons may be enttled under agreements that they may enter into with us to indemnifcaton by us against certain civil liabilites, including liabilites under the Securites Act.</w:t>
      </w:r>
    </w:p>
    <w:p>
      <w:pPr>
        <w:spacing w:after="0" w:line="169" w:lineRule="exact"/>
        <w:rPr>
          <w:sz w:val="20"/>
          <w:szCs w:val="20"/>
          <w:color w:val="auto"/>
        </w:rPr>
      </w:pPr>
    </w:p>
    <w:p>
      <w:pPr>
        <w:ind w:left="220" w:right="359" w:firstLine="343"/>
        <w:spacing w:after="0" w:line="256" w:lineRule="auto"/>
        <w:rPr>
          <w:sz w:val="20"/>
          <w:szCs w:val="20"/>
          <w:color w:val="auto"/>
        </w:rPr>
      </w:pPr>
      <w:r>
        <w:rPr>
          <w:rFonts w:ascii="Calibri" w:cs="Calibri" w:eastAsia="Calibri" w:hAnsi="Calibri"/>
          <w:sz w:val="13"/>
          <w:szCs w:val="13"/>
          <w:color w:val="auto"/>
        </w:rPr>
        <w:t>If so indicated in the applicable prospectus supplement, we will authorize underwriters or other persons actng as our agents to solicit ofers by certain insttutons to purchase securites from us pursuant to delayed delivery contracts providing for payment and delivery on the date stated in the prospectus supplement. Each contract will be for an amount not less than, and the aggregate amount of securites sold pursuant to such contracts shall not be less nor more than, the respectve amounts stated in the prospectus supplement. Insttutons with whom the contracts, when authorized, may be made include commercial and savings banks, insurance companies, pension funds, investment companies, educatonal and charitable insttutons and other insttutons, but shall in all cases be subject to our approval. Delayed delivery contracts will not be subject to any conditons except that:</w:t>
      </w:r>
    </w:p>
    <w:p>
      <w:pPr>
        <w:spacing w:after="0" w:line="87" w:lineRule="exact"/>
        <w:rPr>
          <w:sz w:val="20"/>
          <w:szCs w:val="20"/>
          <w:color w:val="auto"/>
        </w:rPr>
      </w:pPr>
    </w:p>
    <w:p>
      <w:pPr>
        <w:ind w:left="980" w:right="359" w:hanging="341"/>
        <w:spacing w:after="0" w:line="235" w:lineRule="auto"/>
        <w:tabs>
          <w:tab w:leader="none" w:pos="980" w:val="left"/>
        </w:tabs>
        <w:numPr>
          <w:ilvl w:val="0"/>
          <w:numId w:val="44"/>
        </w:numPr>
        <w:rPr>
          <w:rFonts w:ascii="Calibri" w:cs="Calibri" w:eastAsia="Calibri" w:hAnsi="Calibri"/>
          <w:sz w:val="14"/>
          <w:szCs w:val="14"/>
          <w:color w:val="auto"/>
        </w:rPr>
      </w:pPr>
      <w:r>
        <w:rPr>
          <w:rFonts w:ascii="Calibri" w:cs="Calibri" w:eastAsia="Calibri" w:hAnsi="Calibri"/>
          <w:sz w:val="14"/>
          <w:szCs w:val="14"/>
          <w:color w:val="auto"/>
        </w:rPr>
        <w:t>the purchase by an insttuton of the securites covered under that contract shall not at the tme of delivery be prohibited under the laws of the jurisdicton to which that insttuton is subject; and</w:t>
      </w:r>
    </w:p>
    <w:p>
      <w:pPr>
        <w:spacing w:after="0" w:line="95" w:lineRule="exact"/>
        <w:rPr>
          <w:rFonts w:ascii="Calibri" w:cs="Calibri" w:eastAsia="Calibri" w:hAnsi="Calibri"/>
          <w:sz w:val="14"/>
          <w:szCs w:val="14"/>
          <w:color w:val="auto"/>
        </w:rPr>
      </w:pPr>
    </w:p>
    <w:p>
      <w:pPr>
        <w:ind w:left="980" w:right="459" w:hanging="341"/>
        <w:spacing w:after="0" w:line="235" w:lineRule="auto"/>
        <w:tabs>
          <w:tab w:leader="none" w:pos="980" w:val="left"/>
        </w:tabs>
        <w:numPr>
          <w:ilvl w:val="0"/>
          <w:numId w:val="44"/>
        </w:numPr>
        <w:rPr>
          <w:rFonts w:ascii="Calibri" w:cs="Calibri" w:eastAsia="Calibri" w:hAnsi="Calibri"/>
          <w:sz w:val="14"/>
          <w:szCs w:val="14"/>
          <w:color w:val="auto"/>
        </w:rPr>
      </w:pPr>
      <w:r>
        <w:rPr>
          <w:rFonts w:ascii="Calibri" w:cs="Calibri" w:eastAsia="Calibri" w:hAnsi="Calibri"/>
          <w:sz w:val="14"/>
          <w:szCs w:val="14"/>
          <w:color w:val="auto"/>
        </w:rPr>
        <w:t>if the securites are also being sold to underwriters actng as principals for their own account, the underwriters shall have purchased such securites not sold for delayed delivery.</w:t>
      </w:r>
    </w:p>
    <w:p>
      <w:pPr>
        <w:spacing w:after="0" w:line="169" w:lineRule="exact"/>
        <w:rPr>
          <w:sz w:val="20"/>
          <w:szCs w:val="20"/>
          <w:color w:val="auto"/>
        </w:rPr>
      </w:pPr>
    </w:p>
    <w:p>
      <w:pPr>
        <w:ind w:left="220" w:right="459" w:firstLine="343"/>
        <w:spacing w:after="0" w:line="235" w:lineRule="auto"/>
        <w:rPr>
          <w:sz w:val="20"/>
          <w:szCs w:val="20"/>
          <w:color w:val="auto"/>
        </w:rPr>
      </w:pPr>
      <w:r>
        <w:rPr>
          <w:rFonts w:ascii="Calibri" w:cs="Calibri" w:eastAsia="Calibri" w:hAnsi="Calibri"/>
          <w:sz w:val="14"/>
          <w:szCs w:val="14"/>
          <w:color w:val="auto"/>
        </w:rPr>
        <w:t>The underwriters and other persons actng as agents will not have any responsibility in respect of the validity or performance of delayed delivery contracts.</w:t>
      </w:r>
    </w:p>
    <w:p>
      <w:pPr>
        <w:spacing w:after="0" w:line="169" w:lineRule="exact"/>
        <w:rPr>
          <w:sz w:val="20"/>
          <w:szCs w:val="20"/>
          <w:color w:val="auto"/>
        </w:rPr>
      </w:pPr>
    </w:p>
    <w:p>
      <w:pPr>
        <w:ind w:left="220" w:right="239" w:firstLine="343"/>
        <w:spacing w:after="0" w:line="235" w:lineRule="auto"/>
        <w:rPr>
          <w:sz w:val="20"/>
          <w:szCs w:val="20"/>
          <w:color w:val="auto"/>
        </w:rPr>
      </w:pPr>
      <w:r>
        <w:rPr>
          <w:rFonts w:ascii="Calibri" w:cs="Calibri" w:eastAsia="Calibri" w:hAnsi="Calibri"/>
          <w:sz w:val="14"/>
          <w:szCs w:val="14"/>
          <w:color w:val="auto"/>
        </w:rPr>
        <w:t>Certain agents, underwriters and dealers, and their associates and afliates may be customers of, have borrowing relatonships with, engage in other transactons with, and/or perform services, including investment banking services, for us or one or more of our respectve afliates in the ordinary course of business.</w:t>
      </w:r>
    </w:p>
    <w:p>
      <w:pPr>
        <w:spacing w:after="0" w:line="170" w:lineRule="exact"/>
        <w:rPr>
          <w:sz w:val="20"/>
          <w:szCs w:val="20"/>
          <w:color w:val="auto"/>
        </w:rPr>
      </w:pPr>
    </w:p>
    <w:p>
      <w:pPr>
        <w:ind w:left="220" w:right="319" w:firstLine="343"/>
        <w:spacing w:after="0" w:line="255" w:lineRule="auto"/>
        <w:rPr>
          <w:sz w:val="20"/>
          <w:szCs w:val="20"/>
          <w:color w:val="auto"/>
        </w:rPr>
      </w:pPr>
      <w:r>
        <w:rPr>
          <w:rFonts w:ascii="Calibri" w:cs="Calibri" w:eastAsia="Calibri" w:hAnsi="Calibri"/>
          <w:sz w:val="13"/>
          <w:szCs w:val="13"/>
          <w:color w:val="auto"/>
        </w:rPr>
        <w:t>In order to facilitate the ofering of the securites, any underwriters may engage in transactons that stabilize, maintain or otherwise afect the price of the securites or any other securites the prices of which may be used to determine payments on such securites. Specifcally, any underwriters may over-allot in connecton with the ofering, creatng a short positon for their own accounts. In additon, to cover over-allotments or to stabilize the price of the securites or of any such other securites, the underwriters may bid for, and purchase, the securites or any such other securites in the open market. Finally, in any ofering of the securites through a syndicate of underwriters, the underwritng syndicate may reclaim selling concessions allowed to an underwriter or a dealer for distributng the securites in the ofering if the syndicate repurchases previously distributed securites in transactons to cover syndicate short positons, in stabilizaton transactons or otherwise. Any of these actvites may stabilize or maintain the market price of the securites above independent market levels. Any such underwriters are not required to engage in these actvites and may end any of these actvites at any tme.</w:t>
      </w:r>
    </w:p>
    <w:p>
      <w:pPr>
        <w:spacing w:after="0" w:line="164" w:lineRule="exact"/>
        <w:rPr>
          <w:sz w:val="20"/>
          <w:szCs w:val="20"/>
          <w:color w:val="auto"/>
        </w:rPr>
      </w:pPr>
    </w:p>
    <w:p>
      <w:pPr>
        <w:ind w:left="220" w:right="239" w:firstLine="343"/>
        <w:spacing w:after="0" w:line="235" w:lineRule="auto"/>
        <w:rPr>
          <w:sz w:val="20"/>
          <w:szCs w:val="20"/>
          <w:color w:val="auto"/>
        </w:rPr>
      </w:pPr>
      <w:r>
        <w:rPr>
          <w:rFonts w:ascii="Calibri" w:cs="Calibri" w:eastAsia="Calibri" w:hAnsi="Calibri"/>
          <w:sz w:val="14"/>
          <w:szCs w:val="14"/>
          <w:color w:val="auto"/>
        </w:rPr>
        <w:t>Under Rule 15c6-1 of the Exchange Act, trades in the secondary market generally are required to setle in one business day, unless the partes to any such trade expressly agree otherwise. The applicable prospectus supplement may provide that the original issue date for your securites may be more than one scheduled business day afer the trade date for your securites. Accordingly, in such a case, if you wish to trade securites on any date prior to the second business day before the original issue date for your securites, you will be required, by virtue of the fact that your securites initally are expected to setle in more than two scheduled business days afer the trade date for your securites, to make alternatve setlement arrangements to prevent a failed setlement.</w:t>
      </w:r>
    </w:p>
    <w:p>
      <w:pPr>
        <w:spacing w:after="0" w:line="116" w:lineRule="exact"/>
        <w:rPr>
          <w:sz w:val="20"/>
          <w:szCs w:val="20"/>
          <w:color w:val="auto"/>
        </w:rPr>
      </w:pPr>
    </w:p>
    <w:p>
      <w:pPr>
        <w:jc w:val="center"/>
        <w:ind w:right="19"/>
        <w:spacing w:after="0"/>
        <w:rPr>
          <w:sz w:val="20"/>
          <w:szCs w:val="20"/>
          <w:color w:val="auto"/>
        </w:rPr>
      </w:pPr>
      <w:r>
        <w:rPr>
          <w:rFonts w:ascii="Calibri" w:cs="Calibri" w:eastAsia="Calibri" w:hAnsi="Calibri"/>
          <w:sz w:val="14"/>
          <w:szCs w:val="14"/>
          <w:color w:val="auto"/>
        </w:rPr>
        <w:t>-25-</w:t>
      </w:r>
    </w:p>
    <w:p>
      <w:pPr>
        <w:sectPr>
          <w:pgSz w:w="11900" w:h="16838" w:orient="portrait"/>
          <w:cols w:equalWidth="0" w:num="1">
            <w:col w:w="9019"/>
          </w:cols>
          <w:pgMar w:left="1440" w:top="238" w:right="1440" w:bottom="1440" w:gutter="0" w:footer="0" w:header="0"/>
        </w:sectPr>
      </w:pPr>
    </w:p>
    <w:bookmarkStart w:id="68" w:name="page69"/>
    <w:bookmarkEnd w:id="68"/>
    <w:p>
      <w:pPr>
        <w:ind w:left="220" w:right="459" w:firstLine="343"/>
        <w:spacing w:after="0" w:line="235" w:lineRule="auto"/>
        <w:rPr>
          <w:sz w:val="20"/>
          <w:szCs w:val="20"/>
          <w:color w:val="auto"/>
        </w:rPr>
      </w:pPr>
      <w:r>
        <w:rPr>
          <w:rFonts w:ascii="Calibri" w:cs="Calibri" w:eastAsia="Calibri" w:hAnsi="Calibri"/>
          <w:sz w:val="14"/>
          <w:szCs w:val="14"/>
          <w:color w:val="auto"/>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96">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The securites may be new issues of securites and may have no established trading market. The securites may or may not be listed on a natonal securites exchange. We can make no assurance as to the liquidity of or the existence of trading markets for any of the securites.</w:t>
      </w:r>
    </w:p>
    <w:p>
      <w:pPr>
        <w:spacing w:after="0" w:line="113" w:lineRule="exact"/>
        <w:rPr>
          <w:sz w:val="20"/>
          <w:szCs w:val="20"/>
          <w:color w:val="auto"/>
        </w:rPr>
      </w:pPr>
    </w:p>
    <w:p>
      <w:pPr>
        <w:jc w:val="center"/>
        <w:spacing w:after="0"/>
        <w:rPr>
          <w:sz w:val="20"/>
          <w:szCs w:val="20"/>
          <w:color w:val="auto"/>
        </w:rPr>
      </w:pPr>
      <w:r>
        <w:rPr>
          <w:rFonts w:ascii="Calibri" w:cs="Calibri" w:eastAsia="Calibri" w:hAnsi="Calibri"/>
          <w:sz w:val="14"/>
          <w:szCs w:val="14"/>
          <w:color w:val="auto"/>
        </w:rPr>
        <w:t>-26-</w:t>
      </w:r>
    </w:p>
    <w:p>
      <w:pPr>
        <w:sectPr>
          <w:pgSz w:w="11900" w:h="16838" w:orient="portrait"/>
          <w:cols w:equalWidth="0" w:num="1">
            <w:col w:w="9019"/>
          </w:cols>
          <w:pgMar w:left="1440" w:top="238" w:right="1440" w:bottom="1440" w:gutter="0" w:footer="0" w:header="0"/>
        </w:sectPr>
      </w:pPr>
    </w:p>
    <w:bookmarkStart w:id="69" w:name="page70"/>
    <w:bookmarkEnd w:id="69"/>
    <w:p>
      <w:pPr>
        <w:jc w:val="center"/>
        <w:spacing w:after="0"/>
        <w:rPr>
          <w:sz w:val="20"/>
          <w:szCs w:val="20"/>
          <w:color w:val="auto"/>
        </w:rPr>
      </w:pPr>
      <w:r>
        <w:rPr>
          <w:rFonts w:ascii="Calibri" w:cs="Calibri" w:eastAsia="Calibri" w:hAnsi="Calibri"/>
          <w:sz w:val="14"/>
          <w:szCs w:val="14"/>
          <w:b w:val="1"/>
          <w:bCs w:val="1"/>
          <w:color w:val="auto"/>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97">
                      <a:extLst>
                        <a:ext uri="{28A0092B-C50C-407E-A947-70E740481C1C}"/>
                      </a:extLst>
                    </a:blip>
                    <a:srcRect/>
                    <a:stretch>
                      <a:fillRect/>
                    </a:stretch>
                  </pic:blipFill>
                  <pic:spPr bwMode="auto">
                    <a:xfrm>
                      <a:off x="0" y="0"/>
                      <a:ext cx="7201535" cy="32385"/>
                    </a:xfrm>
                    <a:prstGeom prst="rect">
                      <a:avLst/>
                    </a:prstGeom>
                    <a:noFill/>
                  </pic:spPr>
                </pic:pic>
              </a:graphicData>
            </a:graphic>
          </wp:anchor>
        </w:drawing>
        <w:t>LEGAL MATTERS</w:t>
      </w:r>
    </w:p>
    <w:p>
      <w:pPr>
        <w:spacing w:after="0" w:line="169" w:lineRule="exact"/>
        <w:rPr>
          <w:sz w:val="20"/>
          <w:szCs w:val="20"/>
          <w:color w:val="auto"/>
        </w:rPr>
      </w:pPr>
    </w:p>
    <w:p>
      <w:pPr>
        <w:ind w:left="220" w:right="519" w:firstLine="343"/>
        <w:spacing w:after="0" w:line="235" w:lineRule="auto"/>
        <w:rPr>
          <w:sz w:val="20"/>
          <w:szCs w:val="20"/>
          <w:color w:val="auto"/>
        </w:rPr>
      </w:pPr>
      <w:r>
        <w:rPr>
          <w:rFonts w:ascii="Calibri" w:cs="Calibri" w:eastAsia="Calibri" w:hAnsi="Calibri"/>
          <w:sz w:val="14"/>
          <w:szCs w:val="14"/>
          <w:color w:val="auto"/>
        </w:rPr>
        <w:t>The validity of the securites ofered hereby will be passed upon for us by Wilson Sonsini Goodrich &amp; Rosat, Professional Corporaton, Palo Alto, California. Additonal legal maters may be passed on for us, or any underwriters, dealers or agents, by counsel that we will name in the applicable prospectus supplement. Certain members of, and investment partnerships comprised of members of, and persons associated with, Wilson Sonsini Goodrich &amp; Rosat, P.C. own less than 1% of our common stock.</w:t>
      </w:r>
    </w:p>
    <w:p>
      <w:pPr>
        <w:spacing w:after="0" w:line="114" w:lineRule="exact"/>
        <w:rPr>
          <w:sz w:val="20"/>
          <w:szCs w:val="20"/>
          <w:color w:val="auto"/>
        </w:rPr>
      </w:pPr>
    </w:p>
    <w:p>
      <w:pPr>
        <w:jc w:val="center"/>
        <w:spacing w:after="0"/>
        <w:rPr>
          <w:sz w:val="20"/>
          <w:szCs w:val="20"/>
          <w:color w:val="auto"/>
        </w:rPr>
      </w:pPr>
      <w:r>
        <w:rPr>
          <w:rFonts w:ascii="Calibri" w:cs="Calibri" w:eastAsia="Calibri" w:hAnsi="Calibri"/>
          <w:sz w:val="14"/>
          <w:szCs w:val="14"/>
          <w:color w:val="auto"/>
        </w:rPr>
        <w:t>-27-</w:t>
      </w:r>
    </w:p>
    <w:p>
      <w:pPr>
        <w:sectPr>
          <w:pgSz w:w="11900" w:h="16838" w:orient="portrait"/>
          <w:cols w:equalWidth="0" w:num="1">
            <w:col w:w="9019"/>
          </w:cols>
          <w:pgMar w:left="1440" w:top="234" w:right="1440" w:bottom="1440" w:gutter="0" w:footer="0" w:header="0"/>
        </w:sectPr>
      </w:pPr>
    </w:p>
    <w:bookmarkStart w:id="70" w:name="page71"/>
    <w:bookmarkEnd w:id="70"/>
    <w:p>
      <w:pPr>
        <w:jc w:val="center"/>
        <w:ind w:right="19"/>
        <w:spacing w:after="0"/>
        <w:rPr>
          <w:sz w:val="20"/>
          <w:szCs w:val="20"/>
          <w:color w:val="auto"/>
        </w:rPr>
      </w:pPr>
      <w:r>
        <w:rPr>
          <w:rFonts w:ascii="Calibri" w:cs="Calibri" w:eastAsia="Calibri" w:hAnsi="Calibri"/>
          <w:sz w:val="14"/>
          <w:szCs w:val="14"/>
          <w:b w:val="1"/>
          <w:bCs w:val="1"/>
          <w:color w:val="auto"/>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8">
                      <a:extLst>
                        <a:ext uri="{28A0092B-C50C-407E-A947-70E740481C1C}"/>
                      </a:extLst>
                    </a:blip>
                    <a:srcRect/>
                    <a:stretch>
                      <a:fillRect/>
                    </a:stretch>
                  </pic:blipFill>
                  <pic:spPr bwMode="auto">
                    <a:xfrm>
                      <a:off x="0" y="0"/>
                      <a:ext cx="7201535" cy="32385"/>
                    </a:xfrm>
                    <a:prstGeom prst="rect">
                      <a:avLst/>
                    </a:prstGeom>
                    <a:noFill/>
                  </pic:spPr>
                </pic:pic>
              </a:graphicData>
            </a:graphic>
          </wp:anchor>
        </w:drawing>
        <w:t>EXPERTS</w:t>
      </w:r>
    </w:p>
    <w:p>
      <w:pPr>
        <w:spacing w:after="0" w:line="169" w:lineRule="exact"/>
        <w:rPr>
          <w:sz w:val="20"/>
          <w:szCs w:val="20"/>
          <w:color w:val="auto"/>
        </w:rPr>
      </w:pPr>
    </w:p>
    <w:p>
      <w:pPr>
        <w:ind w:left="220" w:right="579" w:firstLine="343"/>
        <w:spacing w:after="0" w:line="235" w:lineRule="auto"/>
        <w:rPr>
          <w:sz w:val="20"/>
          <w:szCs w:val="20"/>
          <w:color w:val="auto"/>
        </w:rPr>
      </w:pPr>
      <w:r>
        <w:rPr>
          <w:rFonts w:ascii="Calibri" w:cs="Calibri" w:eastAsia="Calibri" w:hAnsi="Calibri"/>
          <w:sz w:val="14"/>
          <w:szCs w:val="14"/>
          <w:color w:val="auto"/>
        </w:rPr>
        <w:t>The fnancial statements of Enliven Therapeutcs, Inc. as of December 31, 2024 and 2023, and for each of the two years in the period ended December 31, 2024, incorporated by reference in this Prospectus have been audited by Deloite &amp; Touche LLP, an independent registered public accountng frm, as stated in their report. Such fnancial statements are incorporated by reference in reliance upon the report of such frm given their authority as experts in accountng and auditng.</w:t>
      </w:r>
    </w:p>
    <w:p>
      <w:pPr>
        <w:spacing w:after="0" w:line="114" w:lineRule="exact"/>
        <w:rPr>
          <w:sz w:val="20"/>
          <w:szCs w:val="20"/>
          <w:color w:val="auto"/>
        </w:rPr>
      </w:pPr>
    </w:p>
    <w:p>
      <w:pPr>
        <w:jc w:val="center"/>
        <w:ind w:right="19"/>
        <w:spacing w:after="0"/>
        <w:rPr>
          <w:sz w:val="20"/>
          <w:szCs w:val="20"/>
          <w:color w:val="auto"/>
        </w:rPr>
      </w:pPr>
      <w:r>
        <w:rPr>
          <w:rFonts w:ascii="Calibri" w:cs="Calibri" w:eastAsia="Calibri" w:hAnsi="Calibri"/>
          <w:sz w:val="14"/>
          <w:szCs w:val="14"/>
          <w:color w:val="auto"/>
        </w:rPr>
        <w:t>-28-</w:t>
      </w:r>
    </w:p>
    <w:p>
      <w:pPr>
        <w:sectPr>
          <w:pgSz w:w="11900" w:h="16838" w:orient="portrait"/>
          <w:cols w:equalWidth="0" w:num="1">
            <w:col w:w="9019"/>
          </w:cols>
          <w:pgMar w:left="1440" w:top="234" w:right="1440" w:bottom="1440" w:gutter="0" w:footer="0" w:header="0"/>
        </w:sectPr>
      </w:pPr>
    </w:p>
    <w:bookmarkStart w:id="71" w:name="page72"/>
    <w:bookmarkEnd w:id="71"/>
    <w:p>
      <w:pPr>
        <w:jc w:val="center"/>
        <w:ind w:right="19"/>
        <w:spacing w:after="0"/>
        <w:rPr>
          <w:sz w:val="20"/>
          <w:szCs w:val="20"/>
          <w:color w:val="auto"/>
        </w:rPr>
      </w:pPr>
      <w:r>
        <w:rPr>
          <w:rFonts w:ascii="Calibri" w:cs="Calibri" w:eastAsia="Calibri" w:hAnsi="Calibri"/>
          <w:sz w:val="14"/>
          <w:szCs w:val="14"/>
          <w:b w:val="1"/>
          <w:bCs w:val="1"/>
          <w:color w:val="auto"/>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9">
                      <a:extLst>
                        <a:ext uri="{28A0092B-C50C-407E-A947-70E740481C1C}"/>
                      </a:extLst>
                    </a:blip>
                    <a:srcRect/>
                    <a:stretch>
                      <a:fillRect/>
                    </a:stretch>
                  </pic:blipFill>
                  <pic:spPr bwMode="auto">
                    <a:xfrm>
                      <a:off x="0" y="0"/>
                      <a:ext cx="7201535" cy="32385"/>
                    </a:xfrm>
                    <a:prstGeom prst="rect">
                      <a:avLst/>
                    </a:prstGeom>
                    <a:noFill/>
                  </pic:spPr>
                </pic:pic>
              </a:graphicData>
            </a:graphic>
          </wp:anchor>
        </w:drawing>
        <w:t>WHERE YOU CAN FIND MORE INFORMATION</w:t>
      </w:r>
    </w:p>
    <w:p>
      <w:pPr>
        <w:spacing w:after="0" w:line="169" w:lineRule="exact"/>
        <w:rPr>
          <w:sz w:val="20"/>
          <w:szCs w:val="20"/>
          <w:color w:val="auto"/>
        </w:rPr>
      </w:pPr>
    </w:p>
    <w:p>
      <w:pPr>
        <w:ind w:left="220" w:right="379" w:firstLine="343"/>
        <w:spacing w:after="0" w:line="235" w:lineRule="auto"/>
        <w:rPr>
          <w:sz w:val="20"/>
          <w:szCs w:val="20"/>
          <w:color w:val="auto"/>
        </w:rPr>
      </w:pPr>
      <w:r>
        <w:rPr>
          <w:rFonts w:ascii="Calibri" w:cs="Calibri" w:eastAsia="Calibri" w:hAnsi="Calibri"/>
          <w:sz w:val="14"/>
          <w:szCs w:val="14"/>
          <w:color w:val="auto"/>
        </w:rPr>
        <w:t>We fle annual, quarterly and current reports, proxy statements and other informaton with the SEC. Our SEC flings are available to the public over the Internet at the SEC’s website at www.sec.gov. Copies of certain informaton fled by us with the SEC are also available on our website at www.enliventherapeutcs.com. Informaton accessible on or through our website is not a part of this prospectus.</w:t>
      </w:r>
    </w:p>
    <w:p>
      <w:pPr>
        <w:spacing w:after="0" w:line="170" w:lineRule="exact"/>
        <w:rPr>
          <w:sz w:val="20"/>
          <w:szCs w:val="20"/>
          <w:color w:val="auto"/>
        </w:rPr>
      </w:pPr>
    </w:p>
    <w:p>
      <w:pPr>
        <w:ind w:left="220" w:right="379" w:firstLine="343"/>
        <w:spacing w:after="0" w:line="235" w:lineRule="auto"/>
        <w:rPr>
          <w:sz w:val="20"/>
          <w:szCs w:val="20"/>
          <w:color w:val="auto"/>
        </w:rPr>
      </w:pPr>
      <w:r>
        <w:rPr>
          <w:rFonts w:ascii="Calibri" w:cs="Calibri" w:eastAsia="Calibri" w:hAnsi="Calibri"/>
          <w:sz w:val="14"/>
          <w:szCs w:val="14"/>
          <w:color w:val="auto"/>
        </w:rPr>
        <w:t>This prospectus and any prospectus supplement are part of a registraton statement that we fled with the SEC and do not contain all of the informaton in the registraton statement. You should review the informaton and exhibits in the registraton statement for further informaton on us and our consolidated subsidiaries and the securites that we are ofering. Forms of any indenture or other documents establishing the terms of the ofered securites are fled as exhibits to the registraton statement of which this prospectus forms a part or under cover of a Current Report on Form 8-K and incorporated in this prospectus by reference. Statements in this prospectus or any prospectus supplement about these documents are summaries and each statement is qualifed in all respects by reference to the document to which it refers. You should read the actual documents for a more complete descripton of the relevant maters.</w:t>
      </w:r>
    </w:p>
    <w:p>
      <w:pPr>
        <w:spacing w:after="0" w:line="117" w:lineRule="exact"/>
        <w:rPr>
          <w:sz w:val="20"/>
          <w:szCs w:val="20"/>
          <w:color w:val="auto"/>
        </w:rPr>
      </w:pPr>
    </w:p>
    <w:p>
      <w:pPr>
        <w:jc w:val="center"/>
        <w:ind w:right="19"/>
        <w:spacing w:after="0"/>
        <w:rPr>
          <w:sz w:val="20"/>
          <w:szCs w:val="20"/>
          <w:color w:val="auto"/>
        </w:rPr>
      </w:pPr>
      <w:r>
        <w:rPr>
          <w:rFonts w:ascii="Calibri" w:cs="Calibri" w:eastAsia="Calibri" w:hAnsi="Calibri"/>
          <w:sz w:val="14"/>
          <w:szCs w:val="14"/>
          <w:color w:val="auto"/>
        </w:rPr>
        <w:t>-29-</w:t>
      </w:r>
    </w:p>
    <w:p>
      <w:pPr>
        <w:sectPr>
          <w:pgSz w:w="11900" w:h="16838" w:orient="portrait"/>
          <w:cols w:equalWidth="0" w:num="1">
            <w:col w:w="9019"/>
          </w:cols>
          <w:pgMar w:left="1440" w:top="234" w:right="1440" w:bottom="1440" w:gutter="0" w:footer="0" w:header="0"/>
        </w:sectPr>
      </w:pPr>
    </w:p>
    <w:bookmarkStart w:id="72" w:name="page73"/>
    <w:bookmarkEnd w:id="72"/>
    <w:p>
      <w:pPr>
        <w:jc w:val="center"/>
        <w:ind w:right="19"/>
        <w:spacing w:after="0"/>
        <w:rPr>
          <w:sz w:val="20"/>
          <w:szCs w:val="20"/>
          <w:color w:val="auto"/>
        </w:rPr>
      </w:pPr>
      <w:r>
        <w:rPr>
          <w:rFonts w:ascii="Calibri" w:cs="Calibri" w:eastAsia="Calibri" w:hAnsi="Calibri"/>
          <w:sz w:val="14"/>
          <w:szCs w:val="14"/>
          <w:b w:val="1"/>
          <w:bCs w:val="1"/>
          <w:color w:val="auto"/>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100">
                      <a:extLst>
                        <a:ext uri="{28A0092B-C50C-407E-A947-70E740481C1C}"/>
                      </a:extLst>
                    </a:blip>
                    <a:srcRect/>
                    <a:stretch>
                      <a:fillRect/>
                    </a:stretch>
                  </pic:blipFill>
                  <pic:spPr bwMode="auto">
                    <a:xfrm>
                      <a:off x="0" y="0"/>
                      <a:ext cx="7201535" cy="33020"/>
                    </a:xfrm>
                    <a:prstGeom prst="rect">
                      <a:avLst/>
                    </a:prstGeom>
                    <a:noFill/>
                  </pic:spPr>
                </pic:pic>
              </a:graphicData>
            </a:graphic>
          </wp:anchor>
        </w:drawing>
        <w:t>INCORPORATION BY REFERENCE</w:t>
      </w:r>
    </w:p>
    <w:p>
      <w:pPr>
        <w:spacing w:after="0" w:line="169" w:lineRule="exact"/>
        <w:rPr>
          <w:sz w:val="20"/>
          <w:szCs w:val="20"/>
          <w:color w:val="auto"/>
        </w:rPr>
      </w:pPr>
    </w:p>
    <w:p>
      <w:pPr>
        <w:ind w:left="220" w:right="239" w:firstLine="343"/>
        <w:spacing w:after="0" w:line="235" w:lineRule="auto"/>
        <w:rPr>
          <w:sz w:val="20"/>
          <w:szCs w:val="20"/>
          <w:color w:val="auto"/>
        </w:rPr>
      </w:pPr>
      <w:r>
        <w:rPr>
          <w:rFonts w:ascii="Calibri" w:cs="Calibri" w:eastAsia="Calibri" w:hAnsi="Calibri"/>
          <w:sz w:val="14"/>
          <w:szCs w:val="14"/>
          <w:color w:val="auto"/>
        </w:rPr>
        <w:t>The SEC allows us to incorporate by reference much of the informaton that we fle with the SEC, which means that we can disclose important informaton to you by referring you to those publicly available documents. The informaton that we incorporate by reference in this prospectus is considered to be part of this prospectus. Because we are incorporatng by reference future flings with the SEC, this prospectus is contnually updated and those future flings may modify or supersede some of the informaton included or incorporated by reference in this prospectus. This means that you must look at all of the SEC flings that we incorporate by reference to determine if any of the statements in this prospectus or in any document previously incorporated by reference have been modifed or superseded. This prospectus incorporates by reference the documents listed below and any future flings we make with the SEC under Sectons 13(a), 13(c), 14 or 15(d) of the Exchange Act (in each case, other than those documents or the portons of those documents furnished pursuant to Items 2.02 or 7.01 of any Current Report on Form 8-K and, except as may be noted in any such Form 8-K, exhibits fled on such form that are related to such informaton), untl the ofering of the securites under the registraton statement of which this prospectus forms a part is terminated or completed:</w:t>
      </w:r>
    </w:p>
    <w:p>
      <w:pPr>
        <w:spacing w:after="0" w:line="98" w:lineRule="exact"/>
        <w:rPr>
          <w:sz w:val="20"/>
          <w:szCs w:val="20"/>
          <w:color w:val="auto"/>
        </w:rPr>
      </w:pPr>
    </w:p>
    <w:p>
      <w:pPr>
        <w:ind w:left="980" w:hanging="341"/>
        <w:spacing w:after="0"/>
        <w:tabs>
          <w:tab w:leader="none" w:pos="980" w:val="left"/>
        </w:tabs>
        <w:numPr>
          <w:ilvl w:val="0"/>
          <w:numId w:val="45"/>
        </w:numPr>
        <w:rPr>
          <w:rFonts w:ascii="Calibri" w:cs="Calibri" w:eastAsia="Calibri" w:hAnsi="Calibri"/>
          <w:sz w:val="14"/>
          <w:szCs w:val="14"/>
          <w:color w:val="auto"/>
        </w:rPr>
      </w:pPr>
      <w:r>
        <w:rPr>
          <w:rFonts w:ascii="Calibri" w:cs="Calibri" w:eastAsia="Calibri" w:hAnsi="Calibri"/>
          <w:sz w:val="14"/>
          <w:szCs w:val="14"/>
          <w:color w:val="auto"/>
        </w:rPr>
        <w:t xml:space="preserve">our Annual Report on Form 10-K for the year ended December 31, 2024, as fled with the SEC on </w:t>
      </w:r>
      <w:hyperlink r:id="rId78">
        <w:r>
          <w:rPr>
            <w:rFonts w:ascii="Calibri" w:cs="Calibri" w:eastAsia="Calibri" w:hAnsi="Calibri"/>
            <w:sz w:val="14"/>
            <w:szCs w:val="14"/>
            <w:u w:val="single" w:color="auto"/>
            <w:color w:val="0000EE"/>
          </w:rPr>
          <w:t>March 13, 2025</w:t>
        </w:r>
      </w:hyperlink>
      <w:r>
        <w:rPr>
          <w:rFonts w:ascii="Calibri" w:cs="Calibri" w:eastAsia="Calibri" w:hAnsi="Calibri"/>
          <w:sz w:val="14"/>
          <w:szCs w:val="14"/>
          <w:color w:val="auto"/>
        </w:rPr>
        <w:t>;</w:t>
      </w:r>
    </w:p>
    <w:p>
      <w:pPr>
        <w:spacing w:after="0" w:line="95" w:lineRule="exact"/>
        <w:rPr>
          <w:rFonts w:ascii="Calibri" w:cs="Calibri" w:eastAsia="Calibri" w:hAnsi="Calibri"/>
          <w:sz w:val="14"/>
          <w:szCs w:val="14"/>
          <w:color w:val="auto"/>
        </w:rPr>
      </w:pPr>
    </w:p>
    <w:p>
      <w:pPr>
        <w:ind w:left="980" w:right="459" w:hanging="341"/>
        <w:spacing w:after="0" w:line="235" w:lineRule="auto"/>
        <w:tabs>
          <w:tab w:leader="none" w:pos="980" w:val="left"/>
        </w:tabs>
        <w:numPr>
          <w:ilvl w:val="0"/>
          <w:numId w:val="45"/>
        </w:numPr>
        <w:rPr>
          <w:rFonts w:ascii="Calibri" w:cs="Calibri" w:eastAsia="Calibri" w:hAnsi="Calibri"/>
          <w:sz w:val="14"/>
          <w:szCs w:val="14"/>
          <w:color w:val="0000EE"/>
        </w:rPr>
      </w:pPr>
      <w:r>
        <w:rPr>
          <w:rFonts w:ascii="Calibri" w:cs="Calibri" w:eastAsia="Calibri" w:hAnsi="Calibri"/>
          <w:sz w:val="14"/>
          <w:szCs w:val="14"/>
          <w:color w:val="auto"/>
        </w:rPr>
        <w:t xml:space="preserve">our Quarterly Reports on Form 10-Q for the quarter ended March 31, 2025 and June 30, 2025, as fled with the SEC on </w:t>
      </w:r>
      <w:hyperlink r:id="rId101">
        <w:r>
          <w:rPr>
            <w:rFonts w:ascii="Calibri" w:cs="Calibri" w:eastAsia="Calibri" w:hAnsi="Calibri"/>
            <w:sz w:val="14"/>
            <w:szCs w:val="14"/>
            <w:u w:val="single" w:color="auto"/>
            <w:color w:val="0000EE"/>
          </w:rPr>
          <w:t>May 14, 2025</w:t>
        </w:r>
        <w:r>
          <w:rPr>
            <w:rFonts w:ascii="Calibri" w:cs="Calibri" w:eastAsia="Calibri" w:hAnsi="Calibri"/>
            <w:sz w:val="14"/>
            <w:szCs w:val="14"/>
            <w:u w:val="single" w:color="auto"/>
            <w:color w:val="auto"/>
          </w:rPr>
          <w:t xml:space="preserve"> </w:t>
        </w:r>
      </w:hyperlink>
      <w:r>
        <w:rPr>
          <w:rFonts w:ascii="Calibri" w:cs="Calibri" w:eastAsia="Calibri" w:hAnsi="Calibri"/>
          <w:sz w:val="14"/>
          <w:szCs w:val="14"/>
          <w:color w:val="auto"/>
        </w:rPr>
        <w:t xml:space="preserve">and </w:t>
      </w:r>
      <w:hyperlink r:id="rId102">
        <w:r>
          <w:rPr>
            <w:rFonts w:ascii="Calibri" w:cs="Calibri" w:eastAsia="Calibri" w:hAnsi="Calibri"/>
            <w:sz w:val="14"/>
            <w:szCs w:val="14"/>
            <w:u w:val="single" w:color="auto"/>
            <w:color w:val="0000EE"/>
          </w:rPr>
          <w:t>August 13, 2025</w:t>
        </w:r>
      </w:hyperlink>
      <w:r>
        <w:rPr>
          <w:rFonts w:ascii="Calibri" w:cs="Calibri" w:eastAsia="Calibri" w:hAnsi="Calibri"/>
          <w:sz w:val="14"/>
          <w:szCs w:val="14"/>
          <w:color w:val="000000"/>
        </w:rPr>
        <w:t>,</w:t>
      </w:r>
      <w:r>
        <w:rPr>
          <w:rFonts w:ascii="Calibri" w:cs="Calibri" w:eastAsia="Calibri" w:hAnsi="Calibri"/>
          <w:sz w:val="14"/>
          <w:szCs w:val="14"/>
          <w:color w:val="0000EE"/>
        </w:rPr>
        <w:t xml:space="preserve"> </w:t>
      </w:r>
      <w:r>
        <w:rPr>
          <w:rFonts w:ascii="Calibri" w:cs="Calibri" w:eastAsia="Calibri" w:hAnsi="Calibri"/>
          <w:sz w:val="14"/>
          <w:szCs w:val="14"/>
          <w:color w:val="000000"/>
        </w:rPr>
        <w:t>respectvely;</w:t>
      </w:r>
    </w:p>
    <w:p>
      <w:pPr>
        <w:spacing w:after="0" w:line="95" w:lineRule="exact"/>
        <w:rPr>
          <w:rFonts w:ascii="Calibri" w:cs="Calibri" w:eastAsia="Calibri" w:hAnsi="Calibri"/>
          <w:sz w:val="14"/>
          <w:szCs w:val="14"/>
          <w:color w:val="0000EE"/>
        </w:rPr>
      </w:pPr>
    </w:p>
    <w:p>
      <w:pPr>
        <w:ind w:left="980" w:right="339" w:hanging="341"/>
        <w:spacing w:after="0" w:line="235" w:lineRule="auto"/>
        <w:tabs>
          <w:tab w:leader="none" w:pos="980" w:val="left"/>
        </w:tabs>
        <w:numPr>
          <w:ilvl w:val="0"/>
          <w:numId w:val="45"/>
        </w:numPr>
        <w:rPr>
          <w:rFonts w:ascii="Calibri" w:cs="Calibri" w:eastAsia="Calibri" w:hAnsi="Calibri"/>
          <w:sz w:val="14"/>
          <w:szCs w:val="14"/>
          <w:color w:val="auto"/>
        </w:rPr>
      </w:pPr>
      <w:r>
        <w:rPr>
          <w:rFonts w:ascii="Calibri" w:cs="Calibri" w:eastAsia="Calibri" w:hAnsi="Calibri"/>
          <w:sz w:val="14"/>
          <w:szCs w:val="14"/>
          <w:color w:val="auto"/>
        </w:rPr>
        <w:t xml:space="preserve">The informaton incorporated by reference into our Annual Report on Form 10-K for the year ended </w:t>
      </w:r>
      <w:hyperlink r:id="rId103">
        <w:r>
          <w:rPr>
            <w:rFonts w:ascii="Calibri" w:cs="Calibri" w:eastAsia="Calibri" w:hAnsi="Calibri"/>
            <w:sz w:val="14"/>
            <w:szCs w:val="14"/>
            <w:u w:val="single" w:color="auto"/>
            <w:color w:val="0000EE"/>
          </w:rPr>
          <w:t>December 31, 2024</w:t>
        </w:r>
        <w:r>
          <w:rPr>
            <w:rFonts w:ascii="Calibri" w:cs="Calibri" w:eastAsia="Calibri" w:hAnsi="Calibri"/>
            <w:sz w:val="14"/>
            <w:szCs w:val="14"/>
            <w:u w:val="single" w:color="auto"/>
            <w:color w:val="auto"/>
          </w:rPr>
          <w:t xml:space="preserve"> </w:t>
        </w:r>
      </w:hyperlink>
      <w:r>
        <w:rPr>
          <w:rFonts w:ascii="Calibri" w:cs="Calibri" w:eastAsia="Calibri" w:hAnsi="Calibri"/>
          <w:sz w:val="14"/>
          <w:szCs w:val="14"/>
          <w:color w:val="auto"/>
        </w:rPr>
        <w:t xml:space="preserve">from our Defnitve Proxy Statement on Schedule 14A, as fled with the SEC on </w:t>
      </w:r>
      <w:hyperlink r:id="rId104">
        <w:r>
          <w:rPr>
            <w:rFonts w:ascii="Calibri" w:cs="Calibri" w:eastAsia="Calibri" w:hAnsi="Calibri"/>
            <w:sz w:val="14"/>
            <w:szCs w:val="14"/>
            <w:u w:val="single" w:color="auto"/>
            <w:color w:val="0000EE"/>
          </w:rPr>
          <w:t>April 28, 2025</w:t>
        </w:r>
      </w:hyperlink>
      <w:r>
        <w:rPr>
          <w:rFonts w:ascii="Calibri" w:cs="Calibri" w:eastAsia="Calibri" w:hAnsi="Calibri"/>
          <w:sz w:val="14"/>
          <w:szCs w:val="14"/>
          <w:color w:val="auto"/>
        </w:rPr>
        <w:t>;</w:t>
      </w:r>
    </w:p>
    <w:p>
      <w:pPr>
        <w:spacing w:after="0" w:line="95" w:lineRule="exact"/>
        <w:rPr>
          <w:rFonts w:ascii="Calibri" w:cs="Calibri" w:eastAsia="Calibri" w:hAnsi="Calibri"/>
          <w:sz w:val="14"/>
          <w:szCs w:val="14"/>
          <w:color w:val="auto"/>
        </w:rPr>
      </w:pPr>
    </w:p>
    <w:p>
      <w:pPr>
        <w:ind w:left="980" w:right="279" w:hanging="341"/>
        <w:spacing w:after="0" w:line="235" w:lineRule="auto"/>
        <w:tabs>
          <w:tab w:leader="none" w:pos="980" w:val="left"/>
        </w:tabs>
        <w:numPr>
          <w:ilvl w:val="0"/>
          <w:numId w:val="45"/>
        </w:numPr>
        <w:rPr>
          <w:rFonts w:ascii="Calibri" w:cs="Calibri" w:eastAsia="Calibri" w:hAnsi="Calibri"/>
          <w:sz w:val="14"/>
          <w:szCs w:val="14"/>
          <w:color w:val="0000EE"/>
        </w:rPr>
      </w:pPr>
      <w:r>
        <w:rPr>
          <w:rFonts w:ascii="Calibri" w:cs="Calibri" w:eastAsia="Calibri" w:hAnsi="Calibri"/>
          <w:sz w:val="14"/>
          <w:szCs w:val="14"/>
          <w:color w:val="auto"/>
        </w:rPr>
        <w:t xml:space="preserve">our Current Reports on Form 8-K (other than informaton furnished rather than fled) fled with the SEC on </w:t>
      </w:r>
      <w:hyperlink r:id="rId105">
        <w:r>
          <w:rPr>
            <w:rFonts w:ascii="Calibri" w:cs="Calibri" w:eastAsia="Calibri" w:hAnsi="Calibri"/>
            <w:sz w:val="14"/>
            <w:szCs w:val="14"/>
            <w:u w:val="single" w:color="auto"/>
            <w:color w:val="0000EE"/>
          </w:rPr>
          <w:t>June 13, 2025</w:t>
        </w:r>
      </w:hyperlink>
      <w:r>
        <w:rPr>
          <w:rFonts w:ascii="Calibri" w:cs="Calibri" w:eastAsia="Calibri" w:hAnsi="Calibri"/>
          <w:sz w:val="14"/>
          <w:szCs w:val="14"/>
          <w:color w:val="auto"/>
        </w:rPr>
        <w:t xml:space="preserve">, </w:t>
      </w:r>
      <w:hyperlink r:id="rId106">
        <w:r>
          <w:rPr>
            <w:rFonts w:ascii="Calibri" w:cs="Calibri" w:eastAsia="Calibri" w:hAnsi="Calibri"/>
            <w:sz w:val="14"/>
            <w:szCs w:val="14"/>
            <w:u w:val="single" w:color="auto"/>
            <w:color w:val="0000EE"/>
          </w:rPr>
          <w:t>June 16, 2025</w:t>
        </w:r>
      </w:hyperlink>
      <w:r>
        <w:rPr>
          <w:rFonts w:ascii="Calibri" w:cs="Calibri" w:eastAsia="Calibri" w:hAnsi="Calibri"/>
          <w:sz w:val="14"/>
          <w:szCs w:val="14"/>
          <w:color w:val="auto"/>
        </w:rPr>
        <w:t xml:space="preserve">, and </w:t>
      </w:r>
      <w:hyperlink r:id="rId107">
        <w:r>
          <w:rPr>
            <w:rFonts w:ascii="Calibri" w:cs="Calibri" w:eastAsia="Calibri" w:hAnsi="Calibri"/>
            <w:sz w:val="14"/>
            <w:szCs w:val="14"/>
            <w:u w:val="single" w:color="auto"/>
            <w:color w:val="0000EE"/>
          </w:rPr>
          <w:t>June 25, 2025</w:t>
        </w:r>
      </w:hyperlink>
      <w:r>
        <w:rPr>
          <w:rFonts w:ascii="Calibri" w:cs="Calibri" w:eastAsia="Calibri" w:hAnsi="Calibri"/>
          <w:sz w:val="14"/>
          <w:szCs w:val="14"/>
          <w:color w:val="000000"/>
        </w:rPr>
        <w:t>;</w:t>
      </w:r>
      <w:r>
        <w:rPr>
          <w:rFonts w:ascii="Calibri" w:cs="Calibri" w:eastAsia="Calibri" w:hAnsi="Calibri"/>
          <w:sz w:val="14"/>
          <w:szCs w:val="14"/>
          <w:color w:val="0000EE"/>
        </w:rPr>
        <w:t xml:space="preserve"> </w:t>
      </w:r>
      <w:r>
        <w:rPr>
          <w:rFonts w:ascii="Calibri" w:cs="Calibri" w:eastAsia="Calibri" w:hAnsi="Calibri"/>
          <w:sz w:val="14"/>
          <w:szCs w:val="14"/>
          <w:color w:val="000000"/>
        </w:rPr>
        <w:t>and</w:t>
      </w:r>
    </w:p>
    <w:p>
      <w:pPr>
        <w:spacing w:after="0" w:line="95" w:lineRule="exact"/>
        <w:rPr>
          <w:rFonts w:ascii="Calibri" w:cs="Calibri" w:eastAsia="Calibri" w:hAnsi="Calibri"/>
          <w:sz w:val="14"/>
          <w:szCs w:val="14"/>
          <w:color w:val="0000EE"/>
        </w:rPr>
      </w:pPr>
    </w:p>
    <w:p>
      <w:pPr>
        <w:ind w:left="980" w:right="659" w:hanging="341"/>
        <w:spacing w:after="0" w:line="235" w:lineRule="auto"/>
        <w:tabs>
          <w:tab w:leader="none" w:pos="980" w:val="left"/>
        </w:tabs>
        <w:numPr>
          <w:ilvl w:val="0"/>
          <w:numId w:val="45"/>
        </w:numPr>
        <w:rPr>
          <w:rFonts w:ascii="Calibri" w:cs="Calibri" w:eastAsia="Calibri" w:hAnsi="Calibri"/>
          <w:sz w:val="14"/>
          <w:szCs w:val="14"/>
          <w:color w:val="auto"/>
        </w:rPr>
      </w:pPr>
      <w:r>
        <w:rPr>
          <w:rFonts w:ascii="Calibri" w:cs="Calibri" w:eastAsia="Calibri" w:hAnsi="Calibri"/>
          <w:sz w:val="14"/>
          <w:szCs w:val="14"/>
          <w:color w:val="auto"/>
        </w:rPr>
        <w:t xml:space="preserve">the descripton of our common stock contained in the Registraton Statement on Form 8-A relatng thereto, as fled on </w:t>
      </w:r>
      <w:hyperlink r:id="rId61">
        <w:r>
          <w:rPr>
            <w:rFonts w:ascii="Calibri" w:cs="Calibri" w:eastAsia="Calibri" w:hAnsi="Calibri"/>
            <w:sz w:val="14"/>
            <w:szCs w:val="14"/>
            <w:u w:val="single" w:color="auto"/>
            <w:color w:val="0000EE"/>
          </w:rPr>
          <w:t>March 9, 2020</w:t>
        </w:r>
      </w:hyperlink>
      <w:r>
        <w:rPr>
          <w:rFonts w:ascii="Calibri" w:cs="Calibri" w:eastAsia="Calibri" w:hAnsi="Calibri"/>
          <w:sz w:val="14"/>
          <w:szCs w:val="14"/>
          <w:color w:val="auto"/>
        </w:rPr>
        <w:t>, including any amendment or report fled for the purpose of updatng such descripton.</w:t>
      </w:r>
    </w:p>
    <w:p>
      <w:pPr>
        <w:spacing w:after="0" w:line="169" w:lineRule="exact"/>
        <w:rPr>
          <w:rFonts w:ascii="Calibri" w:cs="Calibri" w:eastAsia="Calibri" w:hAnsi="Calibri"/>
          <w:sz w:val="14"/>
          <w:szCs w:val="14"/>
          <w:color w:val="auto"/>
        </w:rPr>
      </w:pPr>
    </w:p>
    <w:p>
      <w:pPr>
        <w:ind w:left="220" w:right="399" w:firstLine="343"/>
        <w:spacing w:after="0" w:line="235" w:lineRule="auto"/>
        <w:rPr>
          <w:sz w:val="20"/>
          <w:szCs w:val="20"/>
          <w:color w:val="auto"/>
        </w:rPr>
      </w:pPr>
      <w:r>
        <w:rPr>
          <w:rFonts w:ascii="Calibri" w:cs="Calibri" w:eastAsia="Calibri" w:hAnsi="Calibri"/>
          <w:sz w:val="14"/>
          <w:szCs w:val="14"/>
          <w:color w:val="auto"/>
        </w:rPr>
        <w:t>Any documents we fle with the SEC pursuant to Secton 13(a), 13(c), 14 or 15(d) of the Exchange Act afer the date of this prospectus and prior to the terminaton of the ofering of our securites to which this prospectus relates will automatcally be deemed to be incorporated by reference into this prospectus and to be part hereof from the date of fling those documents. We are not, however, incorporatng by reference any documents or portons thereof that are not deemed “fled” with the SEC, including any informaton furnished pursuant to Item 2.02 or Item 7.01 of Form 8-K or related exhibits furnished pursuant to Item 9.01 of Form 8-K. Any statements in any such future flings will automatcally be deemed to modify and supersede any informaton in any document we previously fled with the SEC that is incorporated or deemed to be incorporated herein by reference to the extent that statements in the later fled document modify or replace such earlier statements.</w:t>
      </w:r>
    </w:p>
    <w:p>
      <w:pPr>
        <w:spacing w:after="0" w:line="173" w:lineRule="exact"/>
        <w:rPr>
          <w:rFonts w:ascii="Calibri" w:cs="Calibri" w:eastAsia="Calibri" w:hAnsi="Calibri"/>
          <w:sz w:val="14"/>
          <w:szCs w:val="14"/>
          <w:color w:val="auto"/>
        </w:rPr>
      </w:pPr>
    </w:p>
    <w:p>
      <w:pPr>
        <w:ind w:left="220" w:right="779" w:firstLine="343"/>
        <w:spacing w:after="0" w:line="235" w:lineRule="auto"/>
        <w:rPr>
          <w:sz w:val="20"/>
          <w:szCs w:val="20"/>
          <w:color w:val="auto"/>
        </w:rPr>
      </w:pPr>
      <w:r>
        <w:rPr>
          <w:rFonts w:ascii="Calibri" w:cs="Calibri" w:eastAsia="Calibri" w:hAnsi="Calibri"/>
          <w:sz w:val="14"/>
          <w:szCs w:val="14"/>
          <w:color w:val="auto"/>
        </w:rPr>
        <w:t>Each person, including any benefcial owner, to whom a prospectus is delivered, can request a copy of these flings, at no cost, by writng or telephoning us at the following address or telephone number:</w:t>
      </w:r>
    </w:p>
    <w:p>
      <w:pPr>
        <w:spacing w:after="0" w:line="82" w:lineRule="exact"/>
        <w:rPr>
          <w:rFonts w:ascii="Calibri" w:cs="Calibri" w:eastAsia="Calibri" w:hAnsi="Calibri"/>
          <w:sz w:val="14"/>
          <w:szCs w:val="14"/>
          <w:color w:val="auto"/>
        </w:rPr>
      </w:pPr>
    </w:p>
    <w:p>
      <w:pPr>
        <w:jc w:val="center"/>
        <w:ind w:right="19"/>
        <w:spacing w:after="0"/>
        <w:rPr>
          <w:sz w:val="20"/>
          <w:szCs w:val="20"/>
          <w:color w:val="auto"/>
        </w:rPr>
      </w:pPr>
      <w:r>
        <w:rPr>
          <w:rFonts w:ascii="Calibri" w:cs="Calibri" w:eastAsia="Calibri" w:hAnsi="Calibri"/>
          <w:sz w:val="14"/>
          <w:szCs w:val="14"/>
          <w:color w:val="auto"/>
        </w:rPr>
        <w:t>Enliven Therapeutcs, Inc.</w:t>
      </w:r>
    </w:p>
    <w:p>
      <w:pPr>
        <w:jc w:val="center"/>
        <w:ind w:right="19"/>
        <w:spacing w:after="0" w:line="235" w:lineRule="auto"/>
        <w:rPr>
          <w:sz w:val="20"/>
          <w:szCs w:val="20"/>
          <w:color w:val="auto"/>
        </w:rPr>
      </w:pPr>
      <w:r>
        <w:rPr>
          <w:rFonts w:ascii="Calibri" w:cs="Calibri" w:eastAsia="Calibri" w:hAnsi="Calibri"/>
          <w:sz w:val="14"/>
          <w:szCs w:val="14"/>
          <w:color w:val="auto"/>
        </w:rPr>
        <w:t>6200 Lookout Road</w:t>
      </w:r>
    </w:p>
    <w:p>
      <w:pPr>
        <w:jc w:val="center"/>
        <w:ind w:right="19"/>
        <w:spacing w:after="0" w:line="236" w:lineRule="auto"/>
        <w:rPr>
          <w:sz w:val="20"/>
          <w:szCs w:val="20"/>
          <w:color w:val="auto"/>
        </w:rPr>
      </w:pPr>
      <w:r>
        <w:rPr>
          <w:rFonts w:ascii="Calibri" w:cs="Calibri" w:eastAsia="Calibri" w:hAnsi="Calibri"/>
          <w:sz w:val="14"/>
          <w:szCs w:val="14"/>
          <w:color w:val="auto"/>
        </w:rPr>
        <w:t>Boulder, Colorado 80301</w:t>
      </w:r>
    </w:p>
    <w:p>
      <w:pPr>
        <w:jc w:val="center"/>
        <w:ind w:right="19"/>
        <w:spacing w:after="0" w:line="236" w:lineRule="auto"/>
        <w:rPr>
          <w:sz w:val="20"/>
          <w:szCs w:val="20"/>
          <w:color w:val="auto"/>
        </w:rPr>
      </w:pPr>
      <w:r>
        <w:rPr>
          <w:rFonts w:ascii="Calibri" w:cs="Calibri" w:eastAsia="Calibri" w:hAnsi="Calibri"/>
          <w:sz w:val="14"/>
          <w:szCs w:val="14"/>
          <w:color w:val="auto"/>
        </w:rPr>
        <w:t>Atn: Investor Relatons</w:t>
      </w:r>
    </w:p>
    <w:p>
      <w:pPr>
        <w:jc w:val="center"/>
        <w:ind w:right="19"/>
        <w:spacing w:after="0" w:line="236" w:lineRule="auto"/>
        <w:rPr>
          <w:sz w:val="20"/>
          <w:szCs w:val="20"/>
          <w:color w:val="auto"/>
        </w:rPr>
      </w:pPr>
      <w:r>
        <w:rPr>
          <w:rFonts w:ascii="Calibri" w:cs="Calibri" w:eastAsia="Calibri" w:hAnsi="Calibri"/>
          <w:sz w:val="14"/>
          <w:szCs w:val="14"/>
          <w:color w:val="auto"/>
        </w:rPr>
        <w:t>720-647-8519</w:t>
      </w:r>
    </w:p>
    <w:p>
      <w:pPr>
        <w:spacing w:after="0" w:line="113" w:lineRule="exact"/>
        <w:rPr>
          <w:rFonts w:ascii="Calibri" w:cs="Calibri" w:eastAsia="Calibri" w:hAnsi="Calibri"/>
          <w:sz w:val="14"/>
          <w:szCs w:val="14"/>
          <w:color w:val="auto"/>
        </w:rPr>
      </w:pPr>
    </w:p>
    <w:p>
      <w:pPr>
        <w:jc w:val="center"/>
        <w:ind w:right="19"/>
        <w:spacing w:after="0"/>
        <w:rPr>
          <w:sz w:val="20"/>
          <w:szCs w:val="20"/>
          <w:color w:val="auto"/>
        </w:rPr>
      </w:pPr>
      <w:r>
        <w:rPr>
          <w:rFonts w:ascii="Calibri" w:cs="Calibri" w:eastAsia="Calibri" w:hAnsi="Calibri"/>
          <w:sz w:val="14"/>
          <w:szCs w:val="14"/>
          <w:color w:val="auto"/>
        </w:rPr>
        <w:t>-30-</w:t>
      </w:r>
    </w:p>
    <w:p>
      <w:pPr>
        <w:sectPr>
          <w:pgSz w:w="11900" w:h="16838" w:orient="portrait"/>
          <w:cols w:equalWidth="0" w:num="1">
            <w:col w:w="9019"/>
          </w:cols>
          <w:pgMar w:left="1440" w:top="234" w:right="1440" w:bottom="1440" w:gutter="0" w:footer="0" w:header="0"/>
        </w:sectPr>
      </w:pPr>
    </w:p>
    <w:bookmarkStart w:id="73" w:name="page74"/>
    <w:bookmarkEnd w:id="7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108">
                      <a:extLst>
                        <a:ext uri="{28A0092B-C50C-407E-A947-70E740481C1C}"/>
                      </a:extLst>
                    </a:blip>
                    <a:srcRect/>
                    <a:stretch>
                      <a:fillRect/>
                    </a:stretch>
                  </pic:blipFill>
                  <pic:spPr bwMode="auto">
                    <a:xfrm>
                      <a:off x="0" y="0"/>
                      <a:ext cx="7201535" cy="33020"/>
                    </a:xfrm>
                    <a:prstGeom prst="rect">
                      <a:avLst/>
                    </a:prstGeom>
                    <a:noFill/>
                  </pic:spPr>
                </pic:pic>
              </a:graphicData>
            </a:graphic>
          </wp:anchor>
        </w:drawing>
        <w:drawing>
          <wp:anchor simplePos="0" relativeHeight="251657728" behindDoc="1" locked="0" layoutInCell="0" allowOverlap="1">
            <wp:simplePos x="0" y="0"/>
            <wp:positionH relativeFrom="page">
              <wp:posOffset>1053465</wp:posOffset>
            </wp:positionH>
            <wp:positionV relativeFrom="page">
              <wp:posOffset>182245</wp:posOffset>
            </wp:positionV>
            <wp:extent cx="5441950" cy="1333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109">
                      <a:extLst>
                        <a:ext uri="{28A0092B-C50C-407E-A947-70E740481C1C}"/>
                      </a:extLst>
                    </a:blip>
                    <a:srcRect/>
                    <a:stretch>
                      <a:fillRect/>
                    </a:stretch>
                  </pic:blipFill>
                  <pic:spPr bwMode="auto">
                    <a:xfrm>
                      <a:off x="0" y="0"/>
                      <a:ext cx="5441950" cy="13335"/>
                    </a:xfrm>
                    <a:prstGeom prst="rect">
                      <a:avLst/>
                    </a:prstGeom>
                    <a:noFill/>
                  </pic:spPr>
                </pic:pic>
              </a:graphicData>
            </a:graphic>
          </wp:anchor>
        </w:drawing>
        <w:drawing>
          <wp:anchor simplePos="0" relativeHeight="251657728" behindDoc="1" locked="0" layoutInCell="0" allowOverlap="1">
            <wp:simplePos x="0" y="0"/>
            <wp:positionH relativeFrom="page">
              <wp:posOffset>1053465</wp:posOffset>
            </wp:positionH>
            <wp:positionV relativeFrom="page">
              <wp:posOffset>222250</wp:posOffset>
            </wp:positionV>
            <wp:extent cx="5441950" cy="698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110">
                      <a:extLst>
                        <a:ext uri="{28A0092B-C50C-407E-A947-70E740481C1C}"/>
                      </a:extLst>
                    </a:blip>
                    <a:srcRect/>
                    <a:stretch>
                      <a:fillRect/>
                    </a:stretch>
                  </pic:blipFill>
                  <pic:spPr bwMode="auto">
                    <a:xfrm>
                      <a:off x="0" y="0"/>
                      <a:ext cx="5441950" cy="6985"/>
                    </a:xfrm>
                    <a:prstGeom prst="rect">
                      <a:avLst/>
                    </a:prstGeom>
                    <a:noFill/>
                  </pic:spPr>
                </pic:pic>
              </a:graphicData>
            </a:graphic>
          </wp:anchor>
        </w:drawing>
        <w:drawing>
          <wp:anchor simplePos="0" relativeHeight="251657728" behindDoc="1" locked="0" layoutInCell="0" allowOverlap="1">
            <wp:simplePos x="0" y="0"/>
            <wp:positionH relativeFrom="page">
              <wp:posOffset>3147695</wp:posOffset>
            </wp:positionH>
            <wp:positionV relativeFrom="page">
              <wp:posOffset>495935</wp:posOffset>
            </wp:positionV>
            <wp:extent cx="1260475" cy="66040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111">
                      <a:clrChange>
                        <a:clrFrom>
                          <a:srgbClr val="FFFFFF"/>
                        </a:clrFrom>
                        <a:clrTo>
                          <a:srgbClr val="FFFFFF">
                            <a:alpha val="0"/>
                          </a:srgbClr>
                        </a:clrTo>
                      </a:clrChange>
                      <a:extLst>
                        <a:ext uri="{28A0092B-C50C-407E-A947-70E740481C1C}"/>
                      </a:extLst>
                    </a:blip>
                    <a:srcRect/>
                    <a:stretch>
                      <a:fillRect/>
                    </a:stretch>
                  </pic:blipFill>
                  <pic:spPr bwMode="auto">
                    <a:xfrm>
                      <a:off x="0" y="0"/>
                      <a:ext cx="1260475" cy="660400"/>
                    </a:xfrm>
                    <a:prstGeom prst="rect">
                      <a:avLst/>
                    </a:prstGeom>
                    <a:noFill/>
                  </pic:spPr>
                </pic:pic>
              </a:graphicData>
            </a:graphic>
          </wp:anchor>
        </w:drawing>
      </w:r>
    </w:p>
    <w:p>
      <w:pPr>
        <w:spacing w:after="0" w:line="200" w:lineRule="exact"/>
        <w:rPr>
          <w:sz w:val="20"/>
          <w:szCs w:val="20"/>
          <w:color w:val="auto"/>
        </w:rPr>
      </w:pPr>
    </w:p>
    <w:p>
      <w:pPr>
        <w:spacing w:after="0" w:line="298"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8,933,334 Shares of Common Stock</w:t>
      </w:r>
    </w:p>
    <w:p>
      <w:pPr>
        <w:spacing w:after="0" w:line="85" w:lineRule="exact"/>
        <w:rPr>
          <w:sz w:val="20"/>
          <w:szCs w:val="20"/>
          <w:color w:val="auto"/>
        </w:rPr>
      </w:pPr>
    </w:p>
    <w:p>
      <w:pPr>
        <w:jc w:val="center"/>
        <w:ind w:right="19"/>
        <w:spacing w:after="0"/>
        <w:rPr>
          <w:sz w:val="20"/>
          <w:szCs w:val="20"/>
          <w:color w:val="auto"/>
        </w:rPr>
      </w:pPr>
      <w:r>
        <w:rPr>
          <w:rFonts w:ascii="Arial" w:cs="Arial" w:eastAsia="Arial" w:hAnsi="Arial"/>
          <w:sz w:val="19"/>
          <w:szCs w:val="19"/>
          <w:b w:val="1"/>
          <w:bCs w:val="1"/>
          <w:color w:val="auto"/>
        </w:rPr>
        <w:t>Pre-Funded Warrants to Purchase 1,733,333 Shares of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2286635</wp:posOffset>
            </wp:positionH>
            <wp:positionV relativeFrom="paragraph">
              <wp:posOffset>687070</wp:posOffset>
            </wp:positionV>
            <wp:extent cx="1146810" cy="698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112">
                      <a:extLst>
                        <a:ext uri="{28A0092B-C50C-407E-A947-70E740481C1C}"/>
                      </a:extLst>
                    </a:blip>
                    <a:srcRect/>
                    <a:stretch>
                      <a:fillRect/>
                    </a:stretch>
                  </pic:blipFill>
                  <pic:spPr bwMode="auto">
                    <a:xfrm>
                      <a:off x="0" y="0"/>
                      <a:ext cx="1146810" cy="69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PROSPECTUS SUPPLEMENT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2286635</wp:posOffset>
            </wp:positionH>
            <wp:positionV relativeFrom="paragraph">
              <wp:posOffset>182880</wp:posOffset>
            </wp:positionV>
            <wp:extent cx="1146810" cy="698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13">
                      <a:extLst>
                        <a:ext uri="{28A0092B-C50C-407E-A947-70E740481C1C}"/>
                      </a:extLst>
                    </a:blip>
                    <a:srcRect/>
                    <a:stretch>
                      <a:fillRect/>
                    </a:stretch>
                  </pic:blipFill>
                  <pic:spPr bwMode="auto">
                    <a:xfrm>
                      <a:off x="0" y="0"/>
                      <a:ext cx="1146810" cy="698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left="220"/>
        <w:spacing w:after="0"/>
        <w:rPr>
          <w:sz w:val="20"/>
          <w:szCs w:val="20"/>
          <w:color w:val="auto"/>
        </w:rPr>
      </w:pPr>
      <w:r>
        <w:rPr>
          <w:rFonts w:ascii="Arial" w:cs="Arial" w:eastAsia="Arial" w:hAnsi="Arial"/>
          <w:sz w:val="17"/>
          <w:szCs w:val="17"/>
          <w:b w:val="1"/>
          <w:bCs w:val="1"/>
          <w:color w:val="auto"/>
        </w:rPr>
        <w:t>Jefferies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ind w:left="1760"/>
        <w:spacing w:after="0"/>
        <w:rPr>
          <w:sz w:val="20"/>
          <w:szCs w:val="20"/>
          <w:color w:val="auto"/>
        </w:rPr>
      </w:pPr>
      <w:r>
        <w:rPr>
          <w:rFonts w:ascii="Arial" w:cs="Arial" w:eastAsia="Arial" w:hAnsi="Arial"/>
          <w:sz w:val="17"/>
          <w:szCs w:val="17"/>
          <w:b w:val="1"/>
          <w:bCs w:val="1"/>
          <w:i w:val="1"/>
          <w:iCs w:val="1"/>
          <w:color w:val="auto"/>
        </w:rPr>
        <w:t>Joint Book-Running Managers</w:t>
      </w:r>
    </w:p>
    <w:p>
      <w:pPr>
        <w:spacing w:after="0" w:line="86" w:lineRule="exact"/>
        <w:rPr>
          <w:sz w:val="20"/>
          <w:szCs w:val="20"/>
          <w:color w:val="auto"/>
        </w:rPr>
      </w:pPr>
    </w:p>
    <w:p>
      <w:pPr>
        <w:spacing w:after="0"/>
        <w:tabs>
          <w:tab w:leader="none" w:pos="3080" w:val="left"/>
        </w:tabs>
        <w:rPr>
          <w:sz w:val="20"/>
          <w:szCs w:val="20"/>
          <w:color w:val="auto"/>
        </w:rPr>
      </w:pPr>
      <w:r>
        <w:rPr>
          <w:rFonts w:ascii="Arial" w:cs="Arial" w:eastAsia="Arial" w:hAnsi="Arial"/>
          <w:sz w:val="17"/>
          <w:szCs w:val="17"/>
          <w:b w:val="1"/>
          <w:bCs w:val="1"/>
          <w:color w:val="auto"/>
        </w:rPr>
        <w:t>Goldman Sachs &amp; Co. LLC</w:t>
      </w:r>
      <w:r>
        <w:rPr>
          <w:sz w:val="20"/>
          <w:szCs w:val="20"/>
          <w:color w:val="auto"/>
        </w:rPr>
        <w:tab/>
      </w:r>
      <w:r>
        <w:rPr>
          <w:rFonts w:ascii="Arial" w:cs="Arial" w:eastAsia="Arial" w:hAnsi="Arial"/>
          <w:sz w:val="16"/>
          <w:szCs w:val="16"/>
          <w:b w:val="1"/>
          <w:bCs w:val="1"/>
          <w:color w:val="auto"/>
        </w:rPr>
        <w:t>Morgan Stanley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Barclays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Mizuho</w:t>
      </w:r>
    </w:p>
    <w:p>
      <w:pPr>
        <w:spacing w:after="0" w:line="211" w:lineRule="exact"/>
        <w:rPr>
          <w:sz w:val="20"/>
          <w:szCs w:val="20"/>
          <w:color w:val="auto"/>
        </w:rPr>
      </w:pPr>
    </w:p>
    <w:p>
      <w:pPr>
        <w:sectPr>
          <w:pgSz w:w="11900" w:h="16838" w:orient="portrait"/>
          <w:cols w:equalWidth="0" w:num="4">
            <w:col w:w="920" w:space="600"/>
            <w:col w:w="4500" w:space="720"/>
            <w:col w:w="760" w:space="720"/>
            <w:col w:w="799"/>
          </w:cols>
          <w:pgMar w:left="1440" w:top="1440" w:right="1440" w:bottom="1440" w:gutter="0" w:footer="0" w:header="0"/>
          <w:type w:val="continuous"/>
        </w:sectPr>
      </w:pPr>
    </w:p>
    <w:p>
      <w:pPr>
        <w:spacing w:after="0" w:line="216"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i w:val="1"/>
          <w:iCs w:val="1"/>
          <w:color w:val="auto"/>
        </w:rPr>
        <w:t>Passive Book-Running Manager</w:t>
      </w:r>
    </w:p>
    <w:p>
      <w:pPr>
        <w:spacing w:after="0" w:line="198"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LifeSci Capital</w:t>
      </w:r>
    </w:p>
    <w:p>
      <w:pPr>
        <w:spacing w:after="0" w:line="160"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i w:val="1"/>
          <w:iCs w:val="1"/>
          <w:color w:val="auto"/>
        </w:rPr>
        <w:t>Lead Manager</w:t>
      </w:r>
    </w:p>
    <w:p>
      <w:pPr>
        <w:spacing w:after="0" w:line="82"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Baird</w:t>
      </w:r>
    </w:p>
    <w:p>
      <w:pPr>
        <w:spacing w:after="0" w:line="160"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i w:val="1"/>
          <w:iCs w:val="1"/>
          <w:color w:val="auto"/>
        </w:rPr>
        <w:t>Manager</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Jones</w:t>
      </w:r>
    </w:p>
    <w:p>
      <w:pPr>
        <w:spacing w:after="0" w:line="200" w:lineRule="exact"/>
        <w:rPr>
          <w:sz w:val="20"/>
          <w:szCs w:val="20"/>
          <w:color w:val="auto"/>
        </w:rPr>
      </w:pPr>
    </w:p>
    <w:p>
      <w:pPr>
        <w:spacing w:after="0" w:line="217"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June 11,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139065</wp:posOffset>
            </wp:positionH>
            <wp:positionV relativeFrom="paragraph">
              <wp:posOffset>327025</wp:posOffset>
            </wp:positionV>
            <wp:extent cx="5441950" cy="698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14">
                      <a:extLst>
                        <a:ext uri="{28A0092B-C50C-407E-A947-70E740481C1C}"/>
                      </a:extLst>
                    </a:blip>
                    <a:srcRect/>
                    <a:stretch>
                      <a:fillRect/>
                    </a:stretch>
                  </pic:blipFill>
                  <pic:spPr bwMode="auto">
                    <a:xfrm>
                      <a:off x="0" y="0"/>
                      <a:ext cx="5441950" cy="6985"/>
                    </a:xfrm>
                    <a:prstGeom prst="rect">
                      <a:avLst/>
                    </a:prstGeom>
                    <a:noFill/>
                  </pic:spPr>
                </pic:pic>
              </a:graphicData>
            </a:graphic>
          </wp:anchor>
        </w:drawing>
        <w:drawing>
          <wp:anchor simplePos="0" relativeHeight="251657728" behindDoc="1" locked="0" layoutInCell="0" allowOverlap="1">
            <wp:simplePos x="0" y="0"/>
            <wp:positionH relativeFrom="column">
              <wp:posOffset>139065</wp:posOffset>
            </wp:positionH>
            <wp:positionV relativeFrom="paragraph">
              <wp:posOffset>380365</wp:posOffset>
            </wp:positionV>
            <wp:extent cx="5441950" cy="1333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15">
                      <a:extLst>
                        <a:ext uri="{28A0092B-C50C-407E-A947-70E740481C1C}"/>
                      </a:extLst>
                    </a:blip>
                    <a:srcRect/>
                    <a:stretch>
                      <a:fillRect/>
                    </a:stretch>
                  </pic:blipFill>
                  <pic:spPr bwMode="auto">
                    <a:xfrm>
                      <a:off x="0" y="0"/>
                      <a:ext cx="5441950" cy="1333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type w:val="continuous"/>
        </w:sectPr>
      </w:pPr>
    </w:p>
    <w:bookmarkStart w:id="74" w:name="page75"/>
    <w:bookmarkEnd w:id="74"/>
    <w:p>
      <w:pPr>
        <w:ind w:left="3500"/>
        <w:spacing w:after="0"/>
        <w:rPr>
          <w:sz w:val="20"/>
          <w:szCs w:val="20"/>
          <w:color w:val="auto"/>
        </w:rPr>
      </w:pPr>
      <w:r>
        <w:rPr>
          <w:rFonts w:ascii="Arial" w:cs="Arial" w:eastAsia="Arial" w:hAnsi="Arial"/>
          <w:sz w:val="28"/>
          <w:szCs w:val="28"/>
          <w:b w:val="1"/>
          <w:bCs w:val="1"/>
          <w:color w:val="auto"/>
        </w:rPr>
        <w:t>Calculation of Filing Fee Tables</w:t>
      </w:r>
    </w:p>
    <w:p>
      <w:pPr>
        <w:spacing w:after="0" w:line="172" w:lineRule="exact"/>
        <w:rPr>
          <w:sz w:val="20"/>
          <w:szCs w:val="20"/>
          <w:color w:val="auto"/>
        </w:rPr>
      </w:pPr>
    </w:p>
    <w:p>
      <w:pPr>
        <w:ind w:left="5360"/>
        <w:spacing w:after="0"/>
        <w:rPr>
          <w:sz w:val="20"/>
          <w:szCs w:val="20"/>
          <w:color w:val="auto"/>
        </w:rPr>
      </w:pPr>
      <w:r>
        <w:rPr>
          <w:rFonts w:ascii="Arial" w:cs="Arial" w:eastAsia="Arial" w:hAnsi="Arial"/>
          <w:sz w:val="28"/>
          <w:szCs w:val="28"/>
          <w:b w:val="1"/>
          <w:bCs w:val="1"/>
          <w:color w:val="auto"/>
        </w:rPr>
        <w:t>S-3</w:t>
      </w:r>
    </w:p>
    <w:p>
      <w:pPr>
        <w:spacing w:after="0" w:line="98" w:lineRule="exact"/>
        <w:rPr>
          <w:sz w:val="20"/>
          <w:szCs w:val="20"/>
          <w:color w:val="auto"/>
        </w:rPr>
      </w:pPr>
    </w:p>
    <w:p>
      <w:pPr>
        <w:jc w:val="center"/>
        <w:ind w:right="200"/>
        <w:spacing w:after="0"/>
        <w:rPr>
          <w:sz w:val="20"/>
          <w:szCs w:val="20"/>
          <w:color w:val="auto"/>
        </w:rPr>
      </w:pPr>
      <w:r>
        <w:rPr>
          <w:rFonts w:ascii="Arial" w:cs="Arial" w:eastAsia="Arial" w:hAnsi="Arial"/>
          <w:sz w:val="28"/>
          <w:szCs w:val="28"/>
          <w:b w:val="1"/>
          <w:bCs w:val="1"/>
          <w:color w:val="auto"/>
        </w:rPr>
        <w:t>Enliven Therapeutics, Inc.</w:t>
      </w:r>
    </w:p>
    <w:p>
      <w:pPr>
        <w:spacing w:after="0" w:line="100" w:lineRule="exact"/>
        <w:rPr>
          <w:sz w:val="20"/>
          <w:szCs w:val="20"/>
          <w:color w:val="auto"/>
        </w:rPr>
      </w:pPr>
    </w:p>
    <w:tbl>
      <w:tblPr>
        <w:tblLayout w:type="fixed"/>
        <w:tblInd w:w="10" w:type="dxa"/>
        <w:tblCellMar>
          <w:top w:w="0" w:type="dxa"/>
          <w:left w:w="0" w:type="dxa"/>
          <w:bottom w:w="0" w:type="dxa"/>
          <w:right w:w="0" w:type="dxa"/>
        </w:tblCellMar>
      </w:tblPr>
      <w:tr>
        <w:trPr>
          <w:trHeight w:val="275"/>
        </w:trPr>
        <w:tc>
          <w:tcPr>
            <w:tcW w:w="40" w:type="dxa"/>
            <w:vAlign w:val="bottom"/>
            <w:tcBorders>
              <w:bottom w:val="single" w:sz="8" w:color="auto"/>
            </w:tcBorders>
          </w:tcPr>
          <w:p>
            <w:pPr>
              <w:spacing w:after="0"/>
              <w:rPr>
                <w:sz w:val="23"/>
                <w:szCs w:val="23"/>
                <w:color w:val="auto"/>
              </w:rPr>
            </w:pPr>
          </w:p>
        </w:tc>
        <w:tc>
          <w:tcPr>
            <w:tcW w:w="5060" w:type="dxa"/>
            <w:vAlign w:val="bottom"/>
            <w:tcBorders>
              <w:bottom w:val="single" w:sz="8" w:color="auto"/>
            </w:tcBorders>
            <w:gridSpan w:val="13"/>
          </w:tcPr>
          <w:p>
            <w:pPr>
              <w:spacing w:after="0"/>
              <w:rPr>
                <w:sz w:val="20"/>
                <w:szCs w:val="20"/>
                <w:color w:val="auto"/>
              </w:rPr>
            </w:pPr>
            <w:r>
              <w:rPr>
                <w:rFonts w:ascii="Arial" w:cs="Arial" w:eastAsia="Arial" w:hAnsi="Arial"/>
                <w:sz w:val="17"/>
                <w:szCs w:val="17"/>
                <w:b w:val="1"/>
                <w:bCs w:val="1"/>
                <w:color w:val="auto"/>
              </w:rPr>
              <w:t>Table 1: Newly Registered and Carry Forward Securities</w:t>
            </w:r>
          </w:p>
        </w:tc>
        <w:tc>
          <w:tcPr>
            <w:tcW w:w="20" w:type="dxa"/>
            <w:vAlign w:val="bottom"/>
            <w:tcBorders>
              <w:bottom w:val="single" w:sz="8" w:color="auto"/>
            </w:tcBorders>
          </w:tcPr>
          <w:p>
            <w:pPr>
              <w:spacing w:after="0"/>
              <w:rPr>
                <w:sz w:val="23"/>
                <w:szCs w:val="23"/>
                <w:color w:val="auto"/>
              </w:rPr>
            </w:pPr>
          </w:p>
        </w:tc>
        <w:tc>
          <w:tcPr>
            <w:tcW w:w="120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82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102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70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68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1720" w:type="dxa"/>
            <w:vAlign w:val="bottom"/>
            <w:tcBorders>
              <w:bottom w:val="single" w:sz="8" w:color="auto"/>
            </w:tcBorders>
            <w:gridSpan w:val="3"/>
          </w:tcPr>
          <w:p>
            <w:pPr>
              <w:ind w:left="280"/>
              <w:spacing w:after="0" w:line="196" w:lineRule="exact"/>
              <w:rPr>
                <w:sz w:val="20"/>
                <w:szCs w:val="20"/>
                <w:color w:val="auto"/>
              </w:rPr>
            </w:pPr>
            <w:r>
              <w:rPr>
                <w:rFonts w:ascii="MS PGothic" w:cs="MS PGothic" w:eastAsia="MS PGothic" w:hAnsi="MS PGothic"/>
                <w:sz w:val="17"/>
                <w:szCs w:val="17"/>
                <w:color w:val="auto"/>
                <w:highlight w:val="black"/>
              </w:rPr>
              <w:t>☐</w:t>
            </w:r>
            <w:r>
              <w:rPr>
                <w:rFonts w:ascii="Arial" w:cs="Arial" w:eastAsia="Arial" w:hAnsi="Arial"/>
                <w:sz w:val="17"/>
                <w:szCs w:val="17"/>
                <w:b w:val="1"/>
                <w:bCs w:val="1"/>
                <w:color w:val="auto"/>
              </w:rPr>
              <w:t>Not Applicable</w:t>
            </w:r>
          </w:p>
        </w:tc>
        <w:tc>
          <w:tcPr>
            <w:tcW w:w="0" w:type="dxa"/>
            <w:vAlign w:val="bottom"/>
          </w:tcPr>
          <w:p>
            <w:pPr>
              <w:spacing w:after="0"/>
              <w:rPr>
                <w:sz w:val="1"/>
                <w:szCs w:val="1"/>
                <w:color w:val="auto"/>
              </w:rPr>
            </w:pPr>
          </w:p>
        </w:tc>
      </w:tr>
      <w:tr>
        <w:trPr>
          <w:trHeight w:val="195"/>
        </w:trPr>
        <w:tc>
          <w:tcPr>
            <w:tcW w:w="40" w:type="dxa"/>
            <w:vAlign w:val="bottom"/>
            <w:tcBorders>
              <w:left w:val="single" w:sz="8" w:color="auto"/>
            </w:tcBorders>
          </w:tcPr>
          <w:p>
            <w:pPr>
              <w:spacing w:after="0"/>
              <w:rPr>
                <w:sz w:val="16"/>
                <w:szCs w:val="16"/>
                <w:color w:val="auto"/>
              </w:rPr>
            </w:pPr>
          </w:p>
        </w:tc>
        <w:tc>
          <w:tcPr>
            <w:tcW w:w="8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4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880" w:type="dxa"/>
            <w:vAlign w:val="bottom"/>
            <w:shd w:val="clear" w:color="auto" w:fill="9ADAF6"/>
          </w:tcPr>
          <w:p>
            <w:pPr>
              <w:spacing w:after="0"/>
              <w:rPr>
                <w:sz w:val="16"/>
                <w:szCs w:val="16"/>
                <w:color w:val="auto"/>
              </w:rPr>
            </w:pPr>
          </w:p>
        </w:tc>
        <w:tc>
          <w:tcPr>
            <w:tcW w:w="40" w:type="dxa"/>
            <w:vAlign w:val="bottom"/>
          </w:tcPr>
          <w:p>
            <w:pPr>
              <w:spacing w:after="0"/>
              <w:rPr>
                <w:sz w:val="16"/>
                <w:szCs w:val="16"/>
                <w:color w:val="auto"/>
              </w:rPr>
            </w:pPr>
          </w:p>
        </w:tc>
        <w:tc>
          <w:tcPr>
            <w:tcW w:w="7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2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8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0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4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60" w:type="dxa"/>
            <w:vAlign w:val="bottom"/>
            <w:tcBorders>
              <w:right w:val="single" w:sz="8" w:color="auto"/>
            </w:tcBorders>
            <w:shd w:val="clear" w:color="auto" w:fill="9ADAF6"/>
          </w:tcPr>
          <w:p>
            <w:pPr>
              <w:jc w:val="center"/>
              <w:spacing w:after="0"/>
              <w:rPr>
                <w:sz w:val="20"/>
                <w:szCs w:val="20"/>
                <w:color w:val="auto"/>
              </w:rPr>
            </w:pPr>
            <w:r>
              <w:rPr>
                <w:rFonts w:ascii="Arial" w:cs="Arial" w:eastAsia="Arial" w:hAnsi="Arial"/>
                <w:sz w:val="17"/>
                <w:szCs w:val="17"/>
                <w:b w:val="1"/>
                <w:bCs w:val="1"/>
                <w:color w:val="auto"/>
                <w:w w:val="98"/>
              </w:rPr>
              <w:t>Filing Fee</w:t>
            </w:r>
          </w:p>
        </w:tc>
        <w:tc>
          <w:tcPr>
            <w:tcW w:w="0" w:type="dxa"/>
            <w:vAlign w:val="bottom"/>
          </w:tcPr>
          <w:p>
            <w:pPr>
              <w:spacing w:after="0"/>
              <w:rPr>
                <w:sz w:val="1"/>
                <w:szCs w:val="1"/>
                <w:color w:val="auto"/>
              </w:rPr>
            </w:pPr>
          </w:p>
        </w:tc>
      </w:tr>
      <w:tr>
        <w:trPr>
          <w:trHeight w:val="189"/>
        </w:trPr>
        <w:tc>
          <w:tcPr>
            <w:tcW w:w="40" w:type="dxa"/>
            <w:vAlign w:val="bottom"/>
            <w:tcBorders>
              <w:left w:val="single" w:sz="8" w:color="auto"/>
            </w:tcBorders>
          </w:tcPr>
          <w:p>
            <w:pPr>
              <w:spacing w:after="0"/>
              <w:rPr>
                <w:sz w:val="16"/>
                <w:szCs w:val="16"/>
                <w:color w:val="auto"/>
              </w:rPr>
            </w:pPr>
          </w:p>
        </w:tc>
        <w:tc>
          <w:tcPr>
            <w:tcW w:w="8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4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880" w:type="dxa"/>
            <w:vAlign w:val="bottom"/>
            <w:shd w:val="clear" w:color="auto" w:fill="9ADAF6"/>
          </w:tcPr>
          <w:p>
            <w:pPr>
              <w:spacing w:after="0"/>
              <w:rPr>
                <w:sz w:val="16"/>
                <w:szCs w:val="16"/>
                <w:color w:val="auto"/>
              </w:rPr>
            </w:pPr>
          </w:p>
        </w:tc>
        <w:tc>
          <w:tcPr>
            <w:tcW w:w="40" w:type="dxa"/>
            <w:vAlign w:val="bottom"/>
          </w:tcPr>
          <w:p>
            <w:pPr>
              <w:spacing w:after="0"/>
              <w:rPr>
                <w:sz w:val="16"/>
                <w:szCs w:val="16"/>
                <w:color w:val="auto"/>
              </w:rPr>
            </w:pPr>
          </w:p>
        </w:tc>
        <w:tc>
          <w:tcPr>
            <w:tcW w:w="7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2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8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0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4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60" w:type="dxa"/>
            <w:vAlign w:val="bottom"/>
            <w:tcBorders>
              <w:right w:val="single" w:sz="8" w:color="auto"/>
            </w:tcBorders>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7"/>
              </w:rPr>
              <w:t>Previously</w:t>
            </w:r>
          </w:p>
        </w:tc>
        <w:tc>
          <w:tcPr>
            <w:tcW w:w="0" w:type="dxa"/>
            <w:vAlign w:val="bottom"/>
          </w:tcPr>
          <w:p>
            <w:pPr>
              <w:spacing w:after="0"/>
              <w:rPr>
                <w:sz w:val="1"/>
                <w:szCs w:val="1"/>
                <w:color w:val="auto"/>
              </w:rPr>
            </w:pPr>
          </w:p>
        </w:tc>
      </w:tr>
      <w:tr>
        <w:trPr>
          <w:trHeight w:val="189"/>
        </w:trPr>
        <w:tc>
          <w:tcPr>
            <w:tcW w:w="40" w:type="dxa"/>
            <w:vAlign w:val="bottom"/>
            <w:tcBorders>
              <w:left w:val="single" w:sz="8" w:color="auto"/>
            </w:tcBorders>
          </w:tcPr>
          <w:p>
            <w:pPr>
              <w:spacing w:after="0"/>
              <w:rPr>
                <w:sz w:val="16"/>
                <w:szCs w:val="16"/>
                <w:color w:val="auto"/>
              </w:rPr>
            </w:pPr>
          </w:p>
        </w:tc>
        <w:tc>
          <w:tcPr>
            <w:tcW w:w="8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40" w:type="dxa"/>
            <w:vAlign w:val="bottom"/>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rPr>
              <w:t>Fee</w:t>
            </w:r>
          </w:p>
        </w:tc>
        <w:tc>
          <w:tcPr>
            <w:tcW w:w="20" w:type="dxa"/>
            <w:vAlign w:val="bottom"/>
          </w:tcPr>
          <w:p>
            <w:pPr>
              <w:spacing w:after="0"/>
              <w:rPr>
                <w:sz w:val="16"/>
                <w:szCs w:val="16"/>
                <w:color w:val="auto"/>
              </w:rPr>
            </w:pPr>
          </w:p>
        </w:tc>
        <w:tc>
          <w:tcPr>
            <w:tcW w:w="880" w:type="dxa"/>
            <w:vAlign w:val="bottom"/>
            <w:shd w:val="clear" w:color="auto" w:fill="9ADAF6"/>
          </w:tcPr>
          <w:p>
            <w:pPr>
              <w:spacing w:after="0"/>
              <w:rPr>
                <w:sz w:val="16"/>
                <w:szCs w:val="16"/>
                <w:color w:val="auto"/>
              </w:rPr>
            </w:pPr>
          </w:p>
        </w:tc>
        <w:tc>
          <w:tcPr>
            <w:tcW w:w="40" w:type="dxa"/>
            <w:vAlign w:val="bottom"/>
          </w:tcPr>
          <w:p>
            <w:pPr>
              <w:spacing w:after="0"/>
              <w:rPr>
                <w:sz w:val="16"/>
                <w:szCs w:val="16"/>
                <w:color w:val="auto"/>
              </w:rPr>
            </w:pPr>
          </w:p>
        </w:tc>
        <w:tc>
          <w:tcPr>
            <w:tcW w:w="780" w:type="dxa"/>
            <w:vAlign w:val="bottom"/>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9"/>
              </w:rPr>
              <w:t>Proposed</w:t>
            </w:r>
          </w:p>
        </w:tc>
        <w:tc>
          <w:tcPr>
            <w:tcW w:w="20" w:type="dxa"/>
            <w:vAlign w:val="bottom"/>
          </w:tcPr>
          <w:p>
            <w:pPr>
              <w:spacing w:after="0"/>
              <w:rPr>
                <w:sz w:val="16"/>
                <w:szCs w:val="16"/>
                <w:color w:val="auto"/>
              </w:rPr>
            </w:pPr>
          </w:p>
        </w:tc>
        <w:tc>
          <w:tcPr>
            <w:tcW w:w="12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8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0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40" w:type="dxa"/>
            <w:vAlign w:val="bottom"/>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8"/>
              </w:rPr>
              <w:t>Carry</w:t>
            </w:r>
          </w:p>
        </w:tc>
        <w:tc>
          <w:tcPr>
            <w:tcW w:w="20" w:type="dxa"/>
            <w:vAlign w:val="bottom"/>
          </w:tcPr>
          <w:p>
            <w:pPr>
              <w:spacing w:after="0"/>
              <w:rPr>
                <w:sz w:val="16"/>
                <w:szCs w:val="16"/>
                <w:color w:val="auto"/>
              </w:rPr>
            </w:pPr>
          </w:p>
        </w:tc>
        <w:tc>
          <w:tcPr>
            <w:tcW w:w="960" w:type="dxa"/>
            <w:vAlign w:val="bottom"/>
            <w:tcBorders>
              <w:right w:val="single" w:sz="8" w:color="auto"/>
            </w:tcBorders>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rPr>
              <w:t>Paid in</w:t>
            </w:r>
          </w:p>
        </w:tc>
        <w:tc>
          <w:tcPr>
            <w:tcW w:w="0" w:type="dxa"/>
            <w:vAlign w:val="bottom"/>
          </w:tcPr>
          <w:p>
            <w:pPr>
              <w:spacing w:after="0"/>
              <w:rPr>
                <w:sz w:val="1"/>
                <w:szCs w:val="1"/>
                <w:color w:val="auto"/>
              </w:rPr>
            </w:pPr>
          </w:p>
        </w:tc>
      </w:tr>
      <w:tr>
        <w:trPr>
          <w:trHeight w:val="168"/>
        </w:trPr>
        <w:tc>
          <w:tcPr>
            <w:tcW w:w="40" w:type="dxa"/>
            <w:vAlign w:val="bottom"/>
            <w:tcBorders>
              <w:left w:val="single" w:sz="8" w:color="auto"/>
            </w:tcBorders>
          </w:tcPr>
          <w:p>
            <w:pPr>
              <w:spacing w:after="0"/>
              <w:rPr>
                <w:sz w:val="14"/>
                <w:szCs w:val="14"/>
                <w:color w:val="auto"/>
              </w:rPr>
            </w:pPr>
          </w:p>
        </w:tc>
        <w:tc>
          <w:tcPr>
            <w:tcW w:w="800" w:type="dxa"/>
            <w:vAlign w:val="bottom"/>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680" w:type="dxa"/>
            <w:vAlign w:val="bottom"/>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720" w:type="dxa"/>
            <w:vAlign w:val="bottom"/>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940" w:type="dxa"/>
            <w:vAlign w:val="bottom"/>
            <w:vMerge w:val="continue"/>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880" w:type="dxa"/>
            <w:vAlign w:val="bottom"/>
            <w:shd w:val="clear" w:color="auto" w:fill="9ADAF6"/>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vMerge w:val="continue"/>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1200" w:type="dxa"/>
            <w:vAlign w:val="bottom"/>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820" w:type="dxa"/>
            <w:vAlign w:val="bottom"/>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1020" w:type="dxa"/>
            <w:vAlign w:val="bottom"/>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700" w:type="dxa"/>
            <w:vAlign w:val="bottom"/>
            <w:shd w:val="clear" w:color="auto" w:fill="9ADAF6"/>
          </w:tcPr>
          <w:p>
            <w:pPr>
              <w:jc w:val="center"/>
              <w:spacing w:after="0" w:line="168" w:lineRule="exact"/>
              <w:rPr>
                <w:sz w:val="20"/>
                <w:szCs w:val="20"/>
                <w:color w:val="auto"/>
              </w:rPr>
            </w:pPr>
            <w:r>
              <w:rPr>
                <w:rFonts w:ascii="Arial" w:cs="Arial" w:eastAsia="Arial" w:hAnsi="Arial"/>
                <w:sz w:val="17"/>
                <w:szCs w:val="17"/>
                <w:b w:val="1"/>
                <w:bCs w:val="1"/>
                <w:color w:val="auto"/>
                <w:w w:val="98"/>
              </w:rPr>
              <w:t>Carry</w:t>
            </w:r>
          </w:p>
        </w:tc>
        <w:tc>
          <w:tcPr>
            <w:tcW w:w="20" w:type="dxa"/>
            <w:vAlign w:val="bottom"/>
          </w:tcPr>
          <w:p>
            <w:pPr>
              <w:spacing w:after="0"/>
              <w:rPr>
                <w:sz w:val="14"/>
                <w:szCs w:val="14"/>
                <w:color w:val="auto"/>
              </w:rPr>
            </w:pPr>
          </w:p>
        </w:tc>
        <w:tc>
          <w:tcPr>
            <w:tcW w:w="680" w:type="dxa"/>
            <w:vAlign w:val="bottom"/>
            <w:shd w:val="clear" w:color="auto" w:fill="9ADAF6"/>
          </w:tcPr>
          <w:p>
            <w:pPr>
              <w:jc w:val="center"/>
              <w:spacing w:after="0" w:line="168" w:lineRule="exact"/>
              <w:rPr>
                <w:sz w:val="20"/>
                <w:szCs w:val="20"/>
                <w:color w:val="auto"/>
              </w:rPr>
            </w:pPr>
            <w:r>
              <w:rPr>
                <w:rFonts w:ascii="Arial" w:cs="Arial" w:eastAsia="Arial" w:hAnsi="Arial"/>
                <w:sz w:val="17"/>
                <w:szCs w:val="17"/>
                <w:b w:val="1"/>
                <w:bCs w:val="1"/>
                <w:color w:val="auto"/>
                <w:w w:val="98"/>
              </w:rPr>
              <w:t>Carry</w:t>
            </w:r>
          </w:p>
        </w:tc>
        <w:tc>
          <w:tcPr>
            <w:tcW w:w="20" w:type="dxa"/>
            <w:vAlign w:val="bottom"/>
          </w:tcPr>
          <w:p>
            <w:pPr>
              <w:spacing w:after="0"/>
              <w:rPr>
                <w:sz w:val="14"/>
                <w:szCs w:val="14"/>
                <w:color w:val="auto"/>
              </w:rPr>
            </w:pPr>
          </w:p>
        </w:tc>
        <w:tc>
          <w:tcPr>
            <w:tcW w:w="740" w:type="dxa"/>
            <w:vAlign w:val="bottom"/>
            <w:vMerge w:val="continue"/>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960" w:type="dxa"/>
            <w:vAlign w:val="bottom"/>
            <w:tcBorders>
              <w:right w:val="single" w:sz="8" w:color="auto"/>
            </w:tcBorders>
            <w:shd w:val="clear" w:color="auto" w:fill="9ADAF6"/>
          </w:tcPr>
          <w:p>
            <w:pPr>
              <w:jc w:val="center"/>
              <w:spacing w:after="0" w:line="168" w:lineRule="exact"/>
              <w:rPr>
                <w:sz w:val="20"/>
                <w:szCs w:val="20"/>
                <w:color w:val="auto"/>
              </w:rPr>
            </w:pPr>
            <w:r>
              <w:rPr>
                <w:rFonts w:ascii="Arial" w:cs="Arial" w:eastAsia="Arial" w:hAnsi="Arial"/>
                <w:sz w:val="17"/>
                <w:szCs w:val="17"/>
                <w:b w:val="1"/>
                <w:bCs w:val="1"/>
                <w:color w:val="auto"/>
                <w:w w:val="98"/>
              </w:rPr>
              <w:t>Connection</w:t>
            </w:r>
          </w:p>
        </w:tc>
        <w:tc>
          <w:tcPr>
            <w:tcW w:w="0" w:type="dxa"/>
            <w:vAlign w:val="bottom"/>
          </w:tcPr>
          <w:p>
            <w:pPr>
              <w:spacing w:after="0"/>
              <w:rPr>
                <w:sz w:val="1"/>
                <w:szCs w:val="1"/>
                <w:color w:val="auto"/>
              </w:rPr>
            </w:pPr>
          </w:p>
        </w:tc>
      </w:tr>
      <w:tr>
        <w:trPr>
          <w:trHeight w:val="189"/>
        </w:trPr>
        <w:tc>
          <w:tcPr>
            <w:tcW w:w="40" w:type="dxa"/>
            <w:vAlign w:val="bottom"/>
            <w:tcBorders>
              <w:left w:val="single" w:sz="8" w:color="auto"/>
            </w:tcBorders>
          </w:tcPr>
          <w:p>
            <w:pPr>
              <w:spacing w:after="0"/>
              <w:rPr>
                <w:sz w:val="16"/>
                <w:szCs w:val="16"/>
                <w:color w:val="auto"/>
              </w:rPr>
            </w:pPr>
          </w:p>
        </w:tc>
        <w:tc>
          <w:tcPr>
            <w:tcW w:w="8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9ADAF6"/>
          </w:tcPr>
          <w:p>
            <w:pPr>
              <w:spacing w:after="0" w:line="189" w:lineRule="exact"/>
              <w:rPr>
                <w:sz w:val="20"/>
                <w:szCs w:val="20"/>
                <w:color w:val="auto"/>
              </w:rPr>
            </w:pPr>
            <w:r>
              <w:rPr>
                <w:rFonts w:ascii="Arial" w:cs="Arial" w:eastAsia="Arial" w:hAnsi="Arial"/>
                <w:sz w:val="17"/>
                <w:szCs w:val="17"/>
                <w:b w:val="1"/>
                <w:bCs w:val="1"/>
                <w:color w:val="auto"/>
                <w:w w:val="98"/>
              </w:rPr>
              <w:t>Security</w:t>
            </w:r>
          </w:p>
        </w:tc>
        <w:tc>
          <w:tcPr>
            <w:tcW w:w="20" w:type="dxa"/>
            <w:vAlign w:val="bottom"/>
          </w:tcPr>
          <w:p>
            <w:pPr>
              <w:spacing w:after="0"/>
              <w:rPr>
                <w:sz w:val="16"/>
                <w:szCs w:val="16"/>
                <w:color w:val="auto"/>
              </w:rPr>
            </w:pPr>
          </w:p>
        </w:tc>
        <w:tc>
          <w:tcPr>
            <w:tcW w:w="720" w:type="dxa"/>
            <w:vAlign w:val="bottom"/>
            <w:shd w:val="clear" w:color="auto" w:fill="9ADAF6"/>
          </w:tcPr>
          <w:p>
            <w:pPr>
              <w:ind w:left="40"/>
              <w:spacing w:after="0" w:line="189" w:lineRule="exact"/>
              <w:rPr>
                <w:sz w:val="20"/>
                <w:szCs w:val="20"/>
                <w:color w:val="auto"/>
              </w:rPr>
            </w:pPr>
            <w:r>
              <w:rPr>
                <w:rFonts w:ascii="Arial" w:cs="Arial" w:eastAsia="Arial" w:hAnsi="Arial"/>
                <w:sz w:val="17"/>
                <w:szCs w:val="17"/>
                <w:b w:val="1"/>
                <w:bCs w:val="1"/>
                <w:color w:val="auto"/>
                <w:w w:val="98"/>
              </w:rPr>
              <w:t>Security</w:t>
            </w:r>
          </w:p>
        </w:tc>
        <w:tc>
          <w:tcPr>
            <w:tcW w:w="20" w:type="dxa"/>
            <w:vAlign w:val="bottom"/>
          </w:tcPr>
          <w:p>
            <w:pPr>
              <w:spacing w:after="0"/>
              <w:rPr>
                <w:sz w:val="16"/>
                <w:szCs w:val="16"/>
                <w:color w:val="auto"/>
              </w:rPr>
            </w:pPr>
          </w:p>
        </w:tc>
        <w:tc>
          <w:tcPr>
            <w:tcW w:w="940" w:type="dxa"/>
            <w:vAlign w:val="bottom"/>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8"/>
              </w:rPr>
              <w:t>Calculation</w:t>
            </w:r>
          </w:p>
        </w:tc>
        <w:tc>
          <w:tcPr>
            <w:tcW w:w="20" w:type="dxa"/>
            <w:vAlign w:val="bottom"/>
          </w:tcPr>
          <w:p>
            <w:pPr>
              <w:spacing w:after="0"/>
              <w:rPr>
                <w:sz w:val="16"/>
                <w:szCs w:val="16"/>
                <w:color w:val="auto"/>
              </w:rPr>
            </w:pPr>
          </w:p>
        </w:tc>
        <w:tc>
          <w:tcPr>
            <w:tcW w:w="880" w:type="dxa"/>
            <w:vAlign w:val="bottom"/>
            <w:shd w:val="clear" w:color="auto" w:fill="9ADAF6"/>
          </w:tcPr>
          <w:p>
            <w:pPr>
              <w:jc w:val="right"/>
              <w:ind w:right="36"/>
              <w:spacing w:after="0" w:line="189" w:lineRule="exact"/>
              <w:rPr>
                <w:sz w:val="20"/>
                <w:szCs w:val="20"/>
                <w:color w:val="auto"/>
              </w:rPr>
            </w:pPr>
            <w:r>
              <w:rPr>
                <w:rFonts w:ascii="Arial" w:cs="Arial" w:eastAsia="Arial" w:hAnsi="Arial"/>
                <w:sz w:val="17"/>
                <w:szCs w:val="17"/>
                <w:b w:val="1"/>
                <w:bCs w:val="1"/>
                <w:color w:val="auto"/>
              </w:rPr>
              <w:t>Amount</w:t>
            </w:r>
          </w:p>
        </w:tc>
        <w:tc>
          <w:tcPr>
            <w:tcW w:w="40" w:type="dxa"/>
            <w:vAlign w:val="bottom"/>
          </w:tcPr>
          <w:p>
            <w:pPr>
              <w:spacing w:after="0"/>
              <w:rPr>
                <w:sz w:val="16"/>
                <w:szCs w:val="16"/>
                <w:color w:val="auto"/>
              </w:rPr>
            </w:pPr>
          </w:p>
        </w:tc>
        <w:tc>
          <w:tcPr>
            <w:tcW w:w="780" w:type="dxa"/>
            <w:vAlign w:val="bottom"/>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9"/>
              </w:rPr>
              <w:t>Maximum</w:t>
            </w:r>
          </w:p>
        </w:tc>
        <w:tc>
          <w:tcPr>
            <w:tcW w:w="20" w:type="dxa"/>
            <w:vAlign w:val="bottom"/>
          </w:tcPr>
          <w:p>
            <w:pPr>
              <w:spacing w:after="0"/>
              <w:rPr>
                <w:sz w:val="16"/>
                <w:szCs w:val="16"/>
                <w:color w:val="auto"/>
              </w:rPr>
            </w:pPr>
          </w:p>
        </w:tc>
        <w:tc>
          <w:tcPr>
            <w:tcW w:w="1200" w:type="dxa"/>
            <w:vAlign w:val="bottom"/>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9"/>
              </w:rPr>
              <w:t>Maximum</w:t>
            </w:r>
          </w:p>
        </w:tc>
        <w:tc>
          <w:tcPr>
            <w:tcW w:w="20" w:type="dxa"/>
            <w:vAlign w:val="bottom"/>
          </w:tcPr>
          <w:p>
            <w:pPr>
              <w:spacing w:after="0"/>
              <w:rPr>
                <w:sz w:val="16"/>
                <w:szCs w:val="16"/>
                <w:color w:val="auto"/>
              </w:rPr>
            </w:pPr>
          </w:p>
        </w:tc>
        <w:tc>
          <w:tcPr>
            <w:tcW w:w="8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020" w:type="dxa"/>
            <w:vAlign w:val="bottom"/>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8"/>
              </w:rPr>
              <w:t>Amount of</w:t>
            </w:r>
          </w:p>
        </w:tc>
        <w:tc>
          <w:tcPr>
            <w:tcW w:w="20" w:type="dxa"/>
            <w:vAlign w:val="bottom"/>
          </w:tcPr>
          <w:p>
            <w:pPr>
              <w:spacing w:after="0"/>
              <w:rPr>
                <w:sz w:val="16"/>
                <w:szCs w:val="16"/>
                <w:color w:val="auto"/>
              </w:rPr>
            </w:pPr>
          </w:p>
        </w:tc>
        <w:tc>
          <w:tcPr>
            <w:tcW w:w="700" w:type="dxa"/>
            <w:vAlign w:val="bottom"/>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8"/>
              </w:rPr>
              <w:t>Forward</w:t>
            </w:r>
          </w:p>
        </w:tc>
        <w:tc>
          <w:tcPr>
            <w:tcW w:w="20" w:type="dxa"/>
            <w:vAlign w:val="bottom"/>
          </w:tcPr>
          <w:p>
            <w:pPr>
              <w:spacing w:after="0"/>
              <w:rPr>
                <w:sz w:val="16"/>
                <w:szCs w:val="16"/>
                <w:color w:val="auto"/>
              </w:rPr>
            </w:pPr>
          </w:p>
        </w:tc>
        <w:tc>
          <w:tcPr>
            <w:tcW w:w="680" w:type="dxa"/>
            <w:vAlign w:val="bottom"/>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8"/>
              </w:rPr>
              <w:t>Forward</w:t>
            </w:r>
          </w:p>
        </w:tc>
        <w:tc>
          <w:tcPr>
            <w:tcW w:w="20" w:type="dxa"/>
            <w:vAlign w:val="bottom"/>
          </w:tcPr>
          <w:p>
            <w:pPr>
              <w:spacing w:after="0"/>
              <w:rPr>
                <w:sz w:val="16"/>
                <w:szCs w:val="16"/>
                <w:color w:val="auto"/>
              </w:rPr>
            </w:pPr>
          </w:p>
        </w:tc>
        <w:tc>
          <w:tcPr>
            <w:tcW w:w="740" w:type="dxa"/>
            <w:vAlign w:val="bottom"/>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8"/>
              </w:rPr>
              <w:t>Forward</w:t>
            </w:r>
          </w:p>
        </w:tc>
        <w:tc>
          <w:tcPr>
            <w:tcW w:w="20" w:type="dxa"/>
            <w:vAlign w:val="bottom"/>
          </w:tcPr>
          <w:p>
            <w:pPr>
              <w:spacing w:after="0"/>
              <w:rPr>
                <w:sz w:val="16"/>
                <w:szCs w:val="16"/>
                <w:color w:val="auto"/>
              </w:rPr>
            </w:pPr>
          </w:p>
        </w:tc>
        <w:tc>
          <w:tcPr>
            <w:tcW w:w="960" w:type="dxa"/>
            <w:vAlign w:val="bottom"/>
            <w:tcBorders>
              <w:right w:val="single" w:sz="8" w:color="auto"/>
            </w:tcBorders>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9"/>
              </w:rPr>
              <w:t>with</w:t>
            </w:r>
          </w:p>
        </w:tc>
        <w:tc>
          <w:tcPr>
            <w:tcW w:w="0" w:type="dxa"/>
            <w:vAlign w:val="bottom"/>
          </w:tcPr>
          <w:p>
            <w:pPr>
              <w:spacing w:after="0"/>
              <w:rPr>
                <w:sz w:val="1"/>
                <w:szCs w:val="1"/>
                <w:color w:val="auto"/>
              </w:rPr>
            </w:pPr>
          </w:p>
        </w:tc>
      </w:tr>
      <w:tr>
        <w:trPr>
          <w:trHeight w:val="189"/>
        </w:trPr>
        <w:tc>
          <w:tcPr>
            <w:tcW w:w="40" w:type="dxa"/>
            <w:vAlign w:val="bottom"/>
            <w:tcBorders>
              <w:left w:val="single" w:sz="8" w:color="auto"/>
            </w:tcBorders>
          </w:tcPr>
          <w:p>
            <w:pPr>
              <w:spacing w:after="0"/>
              <w:rPr>
                <w:sz w:val="16"/>
                <w:szCs w:val="16"/>
                <w:color w:val="auto"/>
              </w:rPr>
            </w:pPr>
          </w:p>
        </w:tc>
        <w:tc>
          <w:tcPr>
            <w:tcW w:w="8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9ADAF6"/>
          </w:tcPr>
          <w:p>
            <w:pPr>
              <w:ind w:left="140"/>
              <w:spacing w:after="0" w:line="189" w:lineRule="exact"/>
              <w:rPr>
                <w:sz w:val="20"/>
                <w:szCs w:val="20"/>
                <w:color w:val="auto"/>
              </w:rPr>
            </w:pPr>
            <w:r>
              <w:rPr>
                <w:rFonts w:ascii="Arial" w:cs="Arial" w:eastAsia="Arial" w:hAnsi="Arial"/>
                <w:sz w:val="17"/>
                <w:szCs w:val="17"/>
                <w:b w:val="1"/>
                <w:bCs w:val="1"/>
                <w:color w:val="auto"/>
              </w:rPr>
              <w:t>Type</w:t>
            </w:r>
          </w:p>
        </w:tc>
        <w:tc>
          <w:tcPr>
            <w:tcW w:w="20" w:type="dxa"/>
            <w:vAlign w:val="bottom"/>
          </w:tcPr>
          <w:p>
            <w:pPr>
              <w:spacing w:after="0"/>
              <w:rPr>
                <w:sz w:val="16"/>
                <w:szCs w:val="16"/>
                <w:color w:val="auto"/>
              </w:rPr>
            </w:pPr>
          </w:p>
        </w:tc>
        <w:tc>
          <w:tcPr>
            <w:tcW w:w="720" w:type="dxa"/>
            <w:vAlign w:val="bottom"/>
            <w:shd w:val="clear" w:color="auto" w:fill="9ADAF6"/>
          </w:tcPr>
          <w:p>
            <w:pPr>
              <w:ind w:left="140"/>
              <w:spacing w:after="0" w:line="189" w:lineRule="exact"/>
              <w:rPr>
                <w:sz w:val="20"/>
                <w:szCs w:val="20"/>
                <w:color w:val="auto"/>
              </w:rPr>
            </w:pPr>
            <w:r>
              <w:rPr>
                <w:rFonts w:ascii="Arial" w:cs="Arial" w:eastAsia="Arial" w:hAnsi="Arial"/>
                <w:sz w:val="17"/>
                <w:szCs w:val="17"/>
                <w:b w:val="1"/>
                <w:bCs w:val="1"/>
                <w:color w:val="auto"/>
              </w:rPr>
              <w:t>Class</w:t>
            </w:r>
          </w:p>
        </w:tc>
        <w:tc>
          <w:tcPr>
            <w:tcW w:w="20" w:type="dxa"/>
            <w:vAlign w:val="bottom"/>
          </w:tcPr>
          <w:p>
            <w:pPr>
              <w:spacing w:after="0"/>
              <w:rPr>
                <w:sz w:val="16"/>
                <w:szCs w:val="16"/>
                <w:color w:val="auto"/>
              </w:rPr>
            </w:pPr>
          </w:p>
        </w:tc>
        <w:tc>
          <w:tcPr>
            <w:tcW w:w="940" w:type="dxa"/>
            <w:vAlign w:val="bottom"/>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9"/>
              </w:rPr>
              <w:t>or Carry</w:t>
            </w:r>
          </w:p>
        </w:tc>
        <w:tc>
          <w:tcPr>
            <w:tcW w:w="20" w:type="dxa"/>
            <w:vAlign w:val="bottom"/>
          </w:tcPr>
          <w:p>
            <w:pPr>
              <w:spacing w:after="0"/>
              <w:rPr>
                <w:sz w:val="16"/>
                <w:szCs w:val="16"/>
                <w:color w:val="auto"/>
              </w:rPr>
            </w:pPr>
          </w:p>
        </w:tc>
        <w:tc>
          <w:tcPr>
            <w:tcW w:w="880" w:type="dxa"/>
            <w:vAlign w:val="bottom"/>
            <w:shd w:val="clear" w:color="auto" w:fill="9ADAF6"/>
          </w:tcPr>
          <w:p>
            <w:pPr>
              <w:jc w:val="right"/>
              <w:spacing w:after="0" w:line="189" w:lineRule="exact"/>
              <w:rPr>
                <w:sz w:val="20"/>
                <w:szCs w:val="20"/>
                <w:color w:val="auto"/>
              </w:rPr>
            </w:pPr>
            <w:r>
              <w:rPr>
                <w:rFonts w:ascii="Arial" w:cs="Arial" w:eastAsia="Arial" w:hAnsi="Arial"/>
                <w:sz w:val="17"/>
                <w:szCs w:val="17"/>
                <w:b w:val="1"/>
                <w:bCs w:val="1"/>
                <w:color w:val="auto"/>
                <w:w w:val="97"/>
              </w:rPr>
              <w:t>Registered</w:t>
            </w:r>
          </w:p>
        </w:tc>
        <w:tc>
          <w:tcPr>
            <w:tcW w:w="40" w:type="dxa"/>
            <w:vAlign w:val="bottom"/>
          </w:tcPr>
          <w:p>
            <w:pPr>
              <w:spacing w:after="0"/>
              <w:rPr>
                <w:sz w:val="16"/>
                <w:szCs w:val="16"/>
                <w:color w:val="auto"/>
              </w:rPr>
            </w:pPr>
          </w:p>
        </w:tc>
        <w:tc>
          <w:tcPr>
            <w:tcW w:w="780" w:type="dxa"/>
            <w:vAlign w:val="bottom"/>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9"/>
              </w:rPr>
              <w:t>Offering</w:t>
            </w:r>
          </w:p>
        </w:tc>
        <w:tc>
          <w:tcPr>
            <w:tcW w:w="20" w:type="dxa"/>
            <w:vAlign w:val="bottom"/>
          </w:tcPr>
          <w:p>
            <w:pPr>
              <w:spacing w:after="0"/>
              <w:rPr>
                <w:sz w:val="16"/>
                <w:szCs w:val="16"/>
                <w:color w:val="auto"/>
              </w:rPr>
            </w:pPr>
          </w:p>
        </w:tc>
        <w:tc>
          <w:tcPr>
            <w:tcW w:w="1200" w:type="dxa"/>
            <w:vAlign w:val="bottom"/>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7"/>
              </w:rPr>
              <w:t>Aggregate</w:t>
            </w:r>
          </w:p>
        </w:tc>
        <w:tc>
          <w:tcPr>
            <w:tcW w:w="20" w:type="dxa"/>
            <w:vAlign w:val="bottom"/>
          </w:tcPr>
          <w:p>
            <w:pPr>
              <w:spacing w:after="0"/>
              <w:rPr>
                <w:sz w:val="16"/>
                <w:szCs w:val="16"/>
                <w:color w:val="auto"/>
              </w:rPr>
            </w:pPr>
          </w:p>
        </w:tc>
        <w:tc>
          <w:tcPr>
            <w:tcW w:w="820" w:type="dxa"/>
            <w:vAlign w:val="bottom"/>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8"/>
              </w:rPr>
              <w:t>Fee Rate</w:t>
            </w:r>
          </w:p>
        </w:tc>
        <w:tc>
          <w:tcPr>
            <w:tcW w:w="20" w:type="dxa"/>
            <w:vAlign w:val="bottom"/>
          </w:tcPr>
          <w:p>
            <w:pPr>
              <w:spacing w:after="0"/>
              <w:rPr>
                <w:sz w:val="16"/>
                <w:szCs w:val="16"/>
                <w:color w:val="auto"/>
              </w:rPr>
            </w:pPr>
          </w:p>
        </w:tc>
        <w:tc>
          <w:tcPr>
            <w:tcW w:w="1020" w:type="dxa"/>
            <w:vAlign w:val="bottom"/>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8"/>
              </w:rPr>
              <w:t>Registration</w:t>
            </w:r>
          </w:p>
        </w:tc>
        <w:tc>
          <w:tcPr>
            <w:tcW w:w="20" w:type="dxa"/>
            <w:vAlign w:val="bottom"/>
          </w:tcPr>
          <w:p>
            <w:pPr>
              <w:spacing w:after="0"/>
              <w:rPr>
                <w:sz w:val="16"/>
                <w:szCs w:val="16"/>
                <w:color w:val="auto"/>
              </w:rPr>
            </w:pPr>
          </w:p>
        </w:tc>
        <w:tc>
          <w:tcPr>
            <w:tcW w:w="700" w:type="dxa"/>
            <w:vAlign w:val="bottom"/>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8"/>
              </w:rPr>
              <w:t>Form</w:t>
            </w:r>
          </w:p>
        </w:tc>
        <w:tc>
          <w:tcPr>
            <w:tcW w:w="20" w:type="dxa"/>
            <w:vAlign w:val="bottom"/>
          </w:tcPr>
          <w:p>
            <w:pPr>
              <w:spacing w:after="0"/>
              <w:rPr>
                <w:sz w:val="16"/>
                <w:szCs w:val="16"/>
                <w:color w:val="auto"/>
              </w:rPr>
            </w:pPr>
          </w:p>
        </w:tc>
        <w:tc>
          <w:tcPr>
            <w:tcW w:w="680" w:type="dxa"/>
            <w:vAlign w:val="bottom"/>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5"/>
              </w:rPr>
              <w:t>File</w:t>
            </w:r>
          </w:p>
        </w:tc>
        <w:tc>
          <w:tcPr>
            <w:tcW w:w="20" w:type="dxa"/>
            <w:vAlign w:val="bottom"/>
          </w:tcPr>
          <w:p>
            <w:pPr>
              <w:spacing w:after="0"/>
              <w:rPr>
                <w:sz w:val="16"/>
                <w:szCs w:val="16"/>
                <w:color w:val="auto"/>
              </w:rPr>
            </w:pPr>
          </w:p>
        </w:tc>
        <w:tc>
          <w:tcPr>
            <w:tcW w:w="740" w:type="dxa"/>
            <w:vAlign w:val="bottom"/>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8"/>
              </w:rPr>
              <w:t>Initial</w:t>
            </w:r>
          </w:p>
        </w:tc>
        <w:tc>
          <w:tcPr>
            <w:tcW w:w="20" w:type="dxa"/>
            <w:vAlign w:val="bottom"/>
          </w:tcPr>
          <w:p>
            <w:pPr>
              <w:spacing w:after="0"/>
              <w:rPr>
                <w:sz w:val="16"/>
                <w:szCs w:val="16"/>
                <w:color w:val="auto"/>
              </w:rPr>
            </w:pPr>
          </w:p>
        </w:tc>
        <w:tc>
          <w:tcPr>
            <w:tcW w:w="960" w:type="dxa"/>
            <w:vAlign w:val="bottom"/>
            <w:tcBorders>
              <w:right w:val="single" w:sz="8" w:color="auto"/>
            </w:tcBorders>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7"/>
              </w:rPr>
              <w:t>Unsold</w:t>
            </w:r>
          </w:p>
        </w:tc>
        <w:tc>
          <w:tcPr>
            <w:tcW w:w="0" w:type="dxa"/>
            <w:vAlign w:val="bottom"/>
          </w:tcPr>
          <w:p>
            <w:pPr>
              <w:spacing w:after="0"/>
              <w:rPr>
                <w:sz w:val="1"/>
                <w:szCs w:val="1"/>
                <w:color w:val="auto"/>
              </w:rPr>
            </w:pPr>
          </w:p>
        </w:tc>
      </w:tr>
      <w:tr>
        <w:trPr>
          <w:trHeight w:val="189"/>
        </w:trPr>
        <w:tc>
          <w:tcPr>
            <w:tcW w:w="40" w:type="dxa"/>
            <w:vAlign w:val="bottom"/>
            <w:tcBorders>
              <w:left w:val="single" w:sz="8" w:color="auto"/>
            </w:tcBorders>
          </w:tcPr>
          <w:p>
            <w:pPr>
              <w:spacing w:after="0"/>
              <w:rPr>
                <w:sz w:val="16"/>
                <w:szCs w:val="16"/>
                <w:color w:val="auto"/>
              </w:rPr>
            </w:pPr>
          </w:p>
        </w:tc>
        <w:tc>
          <w:tcPr>
            <w:tcW w:w="8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9ADAF6"/>
          </w:tcPr>
          <w:p>
            <w:pPr>
              <w:ind w:left="200"/>
              <w:spacing w:after="0" w:line="189" w:lineRule="exact"/>
              <w:rPr>
                <w:sz w:val="20"/>
                <w:szCs w:val="20"/>
                <w:color w:val="auto"/>
              </w:rPr>
            </w:pPr>
            <w:r>
              <w:rPr>
                <w:rFonts w:ascii="Arial" w:cs="Arial" w:eastAsia="Arial" w:hAnsi="Arial"/>
                <w:sz w:val="17"/>
                <w:szCs w:val="17"/>
                <w:b w:val="1"/>
                <w:bCs w:val="1"/>
                <w:color w:val="auto"/>
              </w:rPr>
              <w:t>Title</w:t>
            </w:r>
          </w:p>
        </w:tc>
        <w:tc>
          <w:tcPr>
            <w:tcW w:w="20" w:type="dxa"/>
            <w:vAlign w:val="bottom"/>
          </w:tcPr>
          <w:p>
            <w:pPr>
              <w:spacing w:after="0"/>
              <w:rPr>
                <w:sz w:val="16"/>
                <w:szCs w:val="16"/>
                <w:color w:val="auto"/>
              </w:rPr>
            </w:pPr>
          </w:p>
        </w:tc>
        <w:tc>
          <w:tcPr>
            <w:tcW w:w="940" w:type="dxa"/>
            <w:vAlign w:val="bottom"/>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8"/>
              </w:rPr>
              <w:t>Forward</w:t>
            </w:r>
          </w:p>
        </w:tc>
        <w:tc>
          <w:tcPr>
            <w:tcW w:w="20" w:type="dxa"/>
            <w:vAlign w:val="bottom"/>
          </w:tcPr>
          <w:p>
            <w:pPr>
              <w:spacing w:after="0"/>
              <w:rPr>
                <w:sz w:val="16"/>
                <w:szCs w:val="16"/>
                <w:color w:val="auto"/>
              </w:rPr>
            </w:pPr>
          </w:p>
        </w:tc>
        <w:tc>
          <w:tcPr>
            <w:tcW w:w="880" w:type="dxa"/>
            <w:vAlign w:val="bottom"/>
            <w:shd w:val="clear" w:color="auto" w:fill="9ADAF6"/>
          </w:tcPr>
          <w:p>
            <w:pPr>
              <w:spacing w:after="0"/>
              <w:rPr>
                <w:sz w:val="16"/>
                <w:szCs w:val="16"/>
                <w:color w:val="auto"/>
              </w:rPr>
            </w:pPr>
          </w:p>
        </w:tc>
        <w:tc>
          <w:tcPr>
            <w:tcW w:w="40" w:type="dxa"/>
            <w:vAlign w:val="bottom"/>
          </w:tcPr>
          <w:p>
            <w:pPr>
              <w:spacing w:after="0"/>
              <w:rPr>
                <w:sz w:val="16"/>
                <w:szCs w:val="16"/>
                <w:color w:val="auto"/>
              </w:rPr>
            </w:pPr>
          </w:p>
        </w:tc>
        <w:tc>
          <w:tcPr>
            <w:tcW w:w="780" w:type="dxa"/>
            <w:vAlign w:val="bottom"/>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rPr>
              <w:t>Price Per</w:t>
            </w:r>
          </w:p>
        </w:tc>
        <w:tc>
          <w:tcPr>
            <w:tcW w:w="20" w:type="dxa"/>
            <w:vAlign w:val="bottom"/>
          </w:tcPr>
          <w:p>
            <w:pPr>
              <w:spacing w:after="0"/>
              <w:rPr>
                <w:sz w:val="16"/>
                <w:szCs w:val="16"/>
                <w:color w:val="auto"/>
              </w:rPr>
            </w:pPr>
          </w:p>
        </w:tc>
        <w:tc>
          <w:tcPr>
            <w:tcW w:w="1200" w:type="dxa"/>
            <w:vAlign w:val="bottom"/>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7"/>
              </w:rPr>
              <w:t>Offering Price</w:t>
            </w:r>
          </w:p>
        </w:tc>
        <w:tc>
          <w:tcPr>
            <w:tcW w:w="20" w:type="dxa"/>
            <w:vAlign w:val="bottom"/>
          </w:tcPr>
          <w:p>
            <w:pPr>
              <w:spacing w:after="0"/>
              <w:rPr>
                <w:sz w:val="16"/>
                <w:szCs w:val="16"/>
                <w:color w:val="auto"/>
              </w:rPr>
            </w:pPr>
          </w:p>
        </w:tc>
        <w:tc>
          <w:tcPr>
            <w:tcW w:w="8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020" w:type="dxa"/>
            <w:vAlign w:val="bottom"/>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rPr>
              <w:t>Fee</w:t>
            </w:r>
          </w:p>
        </w:tc>
        <w:tc>
          <w:tcPr>
            <w:tcW w:w="20" w:type="dxa"/>
            <w:vAlign w:val="bottom"/>
          </w:tcPr>
          <w:p>
            <w:pPr>
              <w:spacing w:after="0"/>
              <w:rPr>
                <w:sz w:val="16"/>
                <w:szCs w:val="16"/>
                <w:color w:val="auto"/>
              </w:rPr>
            </w:pPr>
          </w:p>
        </w:tc>
        <w:tc>
          <w:tcPr>
            <w:tcW w:w="700" w:type="dxa"/>
            <w:vAlign w:val="bottom"/>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5"/>
              </w:rPr>
              <w:t>Type</w:t>
            </w:r>
          </w:p>
        </w:tc>
        <w:tc>
          <w:tcPr>
            <w:tcW w:w="20" w:type="dxa"/>
            <w:vAlign w:val="bottom"/>
          </w:tcPr>
          <w:p>
            <w:pPr>
              <w:spacing w:after="0"/>
              <w:rPr>
                <w:sz w:val="16"/>
                <w:szCs w:val="16"/>
                <w:color w:val="auto"/>
              </w:rPr>
            </w:pPr>
          </w:p>
        </w:tc>
        <w:tc>
          <w:tcPr>
            <w:tcW w:w="680" w:type="dxa"/>
            <w:vAlign w:val="bottom"/>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9"/>
              </w:rPr>
              <w:t>Number</w:t>
            </w:r>
          </w:p>
        </w:tc>
        <w:tc>
          <w:tcPr>
            <w:tcW w:w="20" w:type="dxa"/>
            <w:vAlign w:val="bottom"/>
          </w:tcPr>
          <w:p>
            <w:pPr>
              <w:spacing w:after="0"/>
              <w:rPr>
                <w:sz w:val="16"/>
                <w:szCs w:val="16"/>
                <w:color w:val="auto"/>
              </w:rPr>
            </w:pPr>
          </w:p>
        </w:tc>
        <w:tc>
          <w:tcPr>
            <w:tcW w:w="740" w:type="dxa"/>
            <w:vAlign w:val="bottom"/>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8"/>
              </w:rPr>
              <w:t>Effective</w:t>
            </w:r>
          </w:p>
        </w:tc>
        <w:tc>
          <w:tcPr>
            <w:tcW w:w="20" w:type="dxa"/>
            <w:vAlign w:val="bottom"/>
          </w:tcPr>
          <w:p>
            <w:pPr>
              <w:spacing w:after="0"/>
              <w:rPr>
                <w:sz w:val="16"/>
                <w:szCs w:val="16"/>
                <w:color w:val="auto"/>
              </w:rPr>
            </w:pPr>
          </w:p>
        </w:tc>
        <w:tc>
          <w:tcPr>
            <w:tcW w:w="960" w:type="dxa"/>
            <w:vAlign w:val="bottom"/>
            <w:tcBorders>
              <w:right w:val="single" w:sz="8" w:color="auto"/>
            </w:tcBorders>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8"/>
              </w:rPr>
              <w:t>Securities</w:t>
            </w:r>
          </w:p>
        </w:tc>
        <w:tc>
          <w:tcPr>
            <w:tcW w:w="0" w:type="dxa"/>
            <w:vAlign w:val="bottom"/>
          </w:tcPr>
          <w:p>
            <w:pPr>
              <w:spacing w:after="0"/>
              <w:rPr>
                <w:sz w:val="1"/>
                <w:szCs w:val="1"/>
                <w:color w:val="auto"/>
              </w:rPr>
            </w:pPr>
          </w:p>
        </w:tc>
      </w:tr>
      <w:tr>
        <w:trPr>
          <w:trHeight w:val="189"/>
        </w:trPr>
        <w:tc>
          <w:tcPr>
            <w:tcW w:w="40" w:type="dxa"/>
            <w:vAlign w:val="bottom"/>
            <w:tcBorders>
              <w:left w:val="single" w:sz="8" w:color="auto"/>
            </w:tcBorders>
          </w:tcPr>
          <w:p>
            <w:pPr>
              <w:spacing w:after="0"/>
              <w:rPr>
                <w:sz w:val="16"/>
                <w:szCs w:val="16"/>
                <w:color w:val="auto"/>
              </w:rPr>
            </w:pPr>
          </w:p>
        </w:tc>
        <w:tc>
          <w:tcPr>
            <w:tcW w:w="8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40" w:type="dxa"/>
            <w:vAlign w:val="bottom"/>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rPr>
              <w:t>Rule</w:t>
            </w:r>
          </w:p>
        </w:tc>
        <w:tc>
          <w:tcPr>
            <w:tcW w:w="20" w:type="dxa"/>
            <w:vAlign w:val="bottom"/>
          </w:tcPr>
          <w:p>
            <w:pPr>
              <w:spacing w:after="0"/>
              <w:rPr>
                <w:sz w:val="16"/>
                <w:szCs w:val="16"/>
                <w:color w:val="auto"/>
              </w:rPr>
            </w:pPr>
          </w:p>
        </w:tc>
        <w:tc>
          <w:tcPr>
            <w:tcW w:w="880" w:type="dxa"/>
            <w:vAlign w:val="bottom"/>
            <w:shd w:val="clear" w:color="auto" w:fill="9ADAF6"/>
          </w:tcPr>
          <w:p>
            <w:pPr>
              <w:spacing w:after="0"/>
              <w:rPr>
                <w:sz w:val="16"/>
                <w:szCs w:val="16"/>
                <w:color w:val="auto"/>
              </w:rPr>
            </w:pPr>
          </w:p>
        </w:tc>
        <w:tc>
          <w:tcPr>
            <w:tcW w:w="40" w:type="dxa"/>
            <w:vAlign w:val="bottom"/>
          </w:tcPr>
          <w:p>
            <w:pPr>
              <w:spacing w:after="0"/>
              <w:rPr>
                <w:sz w:val="16"/>
                <w:szCs w:val="16"/>
                <w:color w:val="auto"/>
              </w:rPr>
            </w:pPr>
          </w:p>
        </w:tc>
        <w:tc>
          <w:tcPr>
            <w:tcW w:w="780" w:type="dxa"/>
            <w:vAlign w:val="bottom"/>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rPr>
              <w:t>Unit</w:t>
            </w:r>
          </w:p>
        </w:tc>
        <w:tc>
          <w:tcPr>
            <w:tcW w:w="20" w:type="dxa"/>
            <w:vAlign w:val="bottom"/>
          </w:tcPr>
          <w:p>
            <w:pPr>
              <w:spacing w:after="0"/>
              <w:rPr>
                <w:sz w:val="16"/>
                <w:szCs w:val="16"/>
                <w:color w:val="auto"/>
              </w:rPr>
            </w:pPr>
          </w:p>
        </w:tc>
        <w:tc>
          <w:tcPr>
            <w:tcW w:w="12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8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0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40" w:type="dxa"/>
            <w:vAlign w:val="bottom"/>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7"/>
              </w:rPr>
              <w:t>Date</w:t>
            </w:r>
          </w:p>
        </w:tc>
        <w:tc>
          <w:tcPr>
            <w:tcW w:w="20" w:type="dxa"/>
            <w:vAlign w:val="bottom"/>
          </w:tcPr>
          <w:p>
            <w:pPr>
              <w:spacing w:after="0"/>
              <w:rPr>
                <w:sz w:val="16"/>
                <w:szCs w:val="16"/>
                <w:color w:val="auto"/>
              </w:rPr>
            </w:pPr>
          </w:p>
        </w:tc>
        <w:tc>
          <w:tcPr>
            <w:tcW w:w="960" w:type="dxa"/>
            <w:vAlign w:val="bottom"/>
            <w:tcBorders>
              <w:right w:val="single" w:sz="8" w:color="auto"/>
            </w:tcBorders>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8"/>
              </w:rPr>
              <w:t>to be</w:t>
            </w:r>
          </w:p>
        </w:tc>
        <w:tc>
          <w:tcPr>
            <w:tcW w:w="0" w:type="dxa"/>
            <w:vAlign w:val="bottom"/>
          </w:tcPr>
          <w:p>
            <w:pPr>
              <w:spacing w:after="0"/>
              <w:rPr>
                <w:sz w:val="1"/>
                <w:szCs w:val="1"/>
                <w:color w:val="auto"/>
              </w:rPr>
            </w:pPr>
          </w:p>
        </w:tc>
      </w:tr>
      <w:tr>
        <w:trPr>
          <w:trHeight w:val="21"/>
        </w:trPr>
        <w:tc>
          <w:tcPr>
            <w:tcW w:w="40" w:type="dxa"/>
            <w:vAlign w:val="bottom"/>
            <w:tcBorders>
              <w:left w:val="single" w:sz="8" w:color="auto"/>
            </w:tcBorders>
          </w:tcPr>
          <w:p>
            <w:pPr>
              <w:spacing w:after="0" w:line="20" w:lineRule="exact"/>
              <w:rPr>
                <w:sz w:val="1"/>
                <w:szCs w:val="1"/>
                <w:color w:val="auto"/>
              </w:rPr>
            </w:pPr>
          </w:p>
        </w:tc>
        <w:tc>
          <w:tcPr>
            <w:tcW w:w="800" w:type="dxa"/>
            <w:vAlign w:val="bottom"/>
            <w:shd w:val="clear" w:color="auto" w:fill="9ADAF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shd w:val="clear" w:color="auto" w:fill="9ADAF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shd w:val="clear" w:color="auto" w:fill="9ADAF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shd w:val="clear" w:color="auto" w:fill="9ADAF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40" w:type="dxa"/>
            <w:vAlign w:val="bottom"/>
            <w:shd w:val="clear" w:color="auto" w:fill="9ADAF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80" w:type="dxa"/>
            <w:vAlign w:val="bottom"/>
            <w:shd w:val="clear" w:color="auto" w:fill="9ADAF6"/>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shd w:val="clear" w:color="auto" w:fill="9ADAF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0" w:type="dxa"/>
            <w:vAlign w:val="bottom"/>
            <w:shd w:val="clear" w:color="auto" w:fill="9ADAF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shd w:val="clear" w:color="auto" w:fill="9ADAF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20" w:type="dxa"/>
            <w:vAlign w:val="bottom"/>
            <w:shd w:val="clear" w:color="auto" w:fill="9ADAF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shd w:val="clear" w:color="auto" w:fill="9ADAF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shd w:val="clear" w:color="auto" w:fill="9ADAF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shd w:val="clear" w:color="auto" w:fill="9ADAF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60" w:type="dxa"/>
            <w:vAlign w:val="bottom"/>
            <w:tcBorders>
              <w:right w:val="single" w:sz="8" w:color="auto"/>
            </w:tcBorders>
            <w:vMerge w:val="continue"/>
            <w:shd w:val="clear" w:color="auto" w:fill="9ADAF6"/>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40" w:type="dxa"/>
            <w:vAlign w:val="bottom"/>
            <w:tcBorders>
              <w:left w:val="single" w:sz="8" w:color="auto"/>
            </w:tcBorders>
          </w:tcPr>
          <w:p>
            <w:pPr>
              <w:spacing w:after="0"/>
              <w:rPr>
                <w:sz w:val="16"/>
                <w:szCs w:val="16"/>
                <w:color w:val="auto"/>
              </w:rPr>
            </w:pPr>
          </w:p>
        </w:tc>
        <w:tc>
          <w:tcPr>
            <w:tcW w:w="8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4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880" w:type="dxa"/>
            <w:vAlign w:val="bottom"/>
            <w:shd w:val="clear" w:color="auto" w:fill="9ADAF6"/>
          </w:tcPr>
          <w:p>
            <w:pPr>
              <w:spacing w:after="0"/>
              <w:rPr>
                <w:sz w:val="16"/>
                <w:szCs w:val="16"/>
                <w:color w:val="auto"/>
              </w:rPr>
            </w:pPr>
          </w:p>
        </w:tc>
        <w:tc>
          <w:tcPr>
            <w:tcW w:w="40" w:type="dxa"/>
            <w:vAlign w:val="bottom"/>
          </w:tcPr>
          <w:p>
            <w:pPr>
              <w:spacing w:after="0"/>
              <w:rPr>
                <w:sz w:val="16"/>
                <w:szCs w:val="16"/>
                <w:color w:val="auto"/>
              </w:rPr>
            </w:pPr>
          </w:p>
        </w:tc>
        <w:tc>
          <w:tcPr>
            <w:tcW w:w="7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2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8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0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4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60" w:type="dxa"/>
            <w:vAlign w:val="bottom"/>
            <w:tcBorders>
              <w:right w:val="single" w:sz="8" w:color="auto"/>
            </w:tcBorders>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rPr>
              <w:t>Carried</w:t>
            </w:r>
          </w:p>
        </w:tc>
        <w:tc>
          <w:tcPr>
            <w:tcW w:w="0" w:type="dxa"/>
            <w:vAlign w:val="bottom"/>
          </w:tcPr>
          <w:p>
            <w:pPr>
              <w:spacing w:after="0"/>
              <w:rPr>
                <w:sz w:val="1"/>
                <w:szCs w:val="1"/>
                <w:color w:val="auto"/>
              </w:rPr>
            </w:pPr>
          </w:p>
        </w:tc>
      </w:tr>
      <w:tr>
        <w:trPr>
          <w:trHeight w:val="221"/>
        </w:trPr>
        <w:tc>
          <w:tcPr>
            <w:tcW w:w="40" w:type="dxa"/>
            <w:vAlign w:val="bottom"/>
            <w:tcBorders>
              <w:left w:val="single" w:sz="8" w:color="auto"/>
            </w:tcBorders>
          </w:tcPr>
          <w:p>
            <w:pPr>
              <w:spacing w:after="0"/>
              <w:rPr>
                <w:sz w:val="19"/>
                <w:szCs w:val="19"/>
                <w:color w:val="auto"/>
              </w:rPr>
            </w:pPr>
          </w:p>
        </w:tc>
        <w:tc>
          <w:tcPr>
            <w:tcW w:w="80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68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72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94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880" w:type="dxa"/>
            <w:vAlign w:val="bottom"/>
            <w:shd w:val="clear" w:color="auto" w:fill="9ADAF6"/>
          </w:tcPr>
          <w:p>
            <w:pPr>
              <w:spacing w:after="0"/>
              <w:rPr>
                <w:sz w:val="19"/>
                <w:szCs w:val="19"/>
                <w:color w:val="auto"/>
              </w:rPr>
            </w:pPr>
          </w:p>
        </w:tc>
        <w:tc>
          <w:tcPr>
            <w:tcW w:w="40" w:type="dxa"/>
            <w:vAlign w:val="bottom"/>
          </w:tcPr>
          <w:p>
            <w:pPr>
              <w:spacing w:after="0"/>
              <w:rPr>
                <w:sz w:val="19"/>
                <w:szCs w:val="19"/>
                <w:color w:val="auto"/>
              </w:rPr>
            </w:pPr>
          </w:p>
        </w:tc>
        <w:tc>
          <w:tcPr>
            <w:tcW w:w="78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120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82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102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70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68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74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960" w:type="dxa"/>
            <w:vAlign w:val="bottom"/>
            <w:tcBorders>
              <w:right w:val="single" w:sz="8" w:color="auto"/>
            </w:tcBorders>
            <w:shd w:val="clear" w:color="auto" w:fill="9ADAF6"/>
          </w:tcPr>
          <w:p>
            <w:pPr>
              <w:jc w:val="center"/>
              <w:spacing w:after="0"/>
              <w:rPr>
                <w:sz w:val="20"/>
                <w:szCs w:val="20"/>
                <w:color w:val="auto"/>
              </w:rPr>
            </w:pPr>
            <w:r>
              <w:rPr>
                <w:rFonts w:ascii="Arial" w:cs="Arial" w:eastAsia="Arial" w:hAnsi="Arial"/>
                <w:sz w:val="17"/>
                <w:szCs w:val="17"/>
                <w:b w:val="1"/>
                <w:bCs w:val="1"/>
                <w:color w:val="auto"/>
                <w:w w:val="98"/>
              </w:rPr>
              <w:t>Forward</w:t>
            </w:r>
          </w:p>
        </w:tc>
        <w:tc>
          <w:tcPr>
            <w:tcW w:w="0" w:type="dxa"/>
            <w:vAlign w:val="bottom"/>
          </w:tcPr>
          <w:p>
            <w:pPr>
              <w:spacing w:after="0"/>
              <w:rPr>
                <w:sz w:val="1"/>
                <w:szCs w:val="1"/>
                <w:color w:val="auto"/>
              </w:rPr>
            </w:pPr>
          </w:p>
        </w:tc>
      </w:tr>
      <w:tr>
        <w:trPr>
          <w:trHeight w:val="246"/>
        </w:trPr>
        <w:tc>
          <w:tcPr>
            <w:tcW w:w="40" w:type="dxa"/>
            <w:vAlign w:val="bottom"/>
            <w:tcBorders>
              <w:left w:val="single" w:sz="8" w:color="auto"/>
            </w:tcBorders>
          </w:tcPr>
          <w:p>
            <w:pPr>
              <w:spacing w:after="0"/>
              <w:rPr>
                <w:sz w:val="21"/>
                <w:szCs w:val="21"/>
                <w:color w:val="auto"/>
              </w:rPr>
            </w:pPr>
          </w:p>
        </w:tc>
        <w:tc>
          <w:tcPr>
            <w:tcW w:w="8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840" w:type="dxa"/>
            <w:vAlign w:val="bottom"/>
            <w:gridSpan w:val="5"/>
          </w:tcPr>
          <w:p>
            <w:pPr>
              <w:ind w:left="240"/>
              <w:spacing w:after="0"/>
              <w:rPr>
                <w:sz w:val="20"/>
                <w:szCs w:val="20"/>
                <w:color w:val="auto"/>
              </w:rPr>
            </w:pPr>
            <w:r>
              <w:rPr>
                <w:rFonts w:ascii="Arial" w:cs="Arial" w:eastAsia="Arial" w:hAnsi="Arial"/>
                <w:sz w:val="17"/>
                <w:szCs w:val="17"/>
                <w:b w:val="1"/>
                <w:bCs w:val="1"/>
                <w:color w:val="auto"/>
              </w:rPr>
              <w:t>Newly Registered Securities</w:t>
            </w:r>
          </w:p>
        </w:tc>
        <w:tc>
          <w:tcPr>
            <w:tcW w:w="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6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84"/>
        </w:trPr>
        <w:tc>
          <w:tcPr>
            <w:tcW w:w="40" w:type="dxa"/>
            <w:vAlign w:val="bottom"/>
            <w:tcBorders>
              <w:left w:val="single" w:sz="8" w:color="auto"/>
            </w:tcBorders>
          </w:tcPr>
          <w:p>
            <w:pPr>
              <w:spacing w:after="0"/>
              <w:rPr>
                <w:sz w:val="16"/>
                <w:szCs w:val="16"/>
                <w:color w:val="auto"/>
              </w:rPr>
            </w:pPr>
          </w:p>
        </w:tc>
        <w:tc>
          <w:tcPr>
            <w:tcW w:w="8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E7E7E2"/>
          </w:tcPr>
          <w:p>
            <w:pPr>
              <w:ind w:left="20"/>
              <w:spacing w:after="0" w:line="185" w:lineRule="exact"/>
              <w:rPr>
                <w:sz w:val="20"/>
                <w:szCs w:val="20"/>
                <w:color w:val="auto"/>
              </w:rPr>
            </w:pPr>
            <w:r>
              <w:rPr>
                <w:rFonts w:ascii="Arial" w:cs="Arial" w:eastAsia="Arial" w:hAnsi="Arial"/>
                <w:sz w:val="17"/>
                <w:szCs w:val="17"/>
                <w:color w:val="auto"/>
                <w:w w:val="98"/>
              </w:rPr>
              <w:t>Common</w:t>
            </w:r>
          </w:p>
        </w:tc>
        <w:tc>
          <w:tcPr>
            <w:tcW w:w="20" w:type="dxa"/>
            <w:vAlign w:val="bottom"/>
          </w:tcPr>
          <w:p>
            <w:pPr>
              <w:spacing w:after="0"/>
              <w:rPr>
                <w:sz w:val="16"/>
                <w:szCs w:val="16"/>
                <w:color w:val="auto"/>
              </w:rPr>
            </w:pPr>
          </w:p>
        </w:tc>
        <w:tc>
          <w:tcPr>
            <w:tcW w:w="9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80" w:type="dxa"/>
            <w:vAlign w:val="bottom"/>
            <w:shd w:val="clear" w:color="auto" w:fill="E7E7E2"/>
          </w:tcPr>
          <w:p>
            <w:pPr>
              <w:spacing w:after="0"/>
              <w:rPr>
                <w:sz w:val="16"/>
                <w:szCs w:val="16"/>
                <w:color w:val="auto"/>
              </w:rPr>
            </w:pPr>
          </w:p>
        </w:tc>
        <w:tc>
          <w:tcPr>
            <w:tcW w:w="40" w:type="dxa"/>
            <w:vAlign w:val="bottom"/>
          </w:tcPr>
          <w:p>
            <w:pPr>
              <w:spacing w:after="0"/>
              <w:rPr>
                <w:sz w:val="16"/>
                <w:szCs w:val="16"/>
                <w:color w:val="auto"/>
              </w:rPr>
            </w:pPr>
          </w:p>
        </w:tc>
        <w:tc>
          <w:tcPr>
            <w:tcW w:w="7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2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0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60" w:type="dxa"/>
            <w:vAlign w:val="bottom"/>
            <w:tcBorders>
              <w:right w:val="single" w:sz="8" w:color="auto"/>
            </w:tcBorders>
            <w:shd w:val="clear" w:color="auto" w:fill="E7E7E2"/>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0" w:type="dxa"/>
            <w:vAlign w:val="bottom"/>
            <w:tcBorders>
              <w:left w:val="single" w:sz="8" w:color="auto"/>
            </w:tcBorders>
          </w:tcPr>
          <w:p>
            <w:pPr>
              <w:spacing w:after="0"/>
              <w:rPr>
                <w:sz w:val="16"/>
                <w:szCs w:val="16"/>
                <w:color w:val="auto"/>
              </w:rPr>
            </w:pPr>
          </w:p>
        </w:tc>
        <w:tc>
          <w:tcPr>
            <w:tcW w:w="8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E7E7E2"/>
          </w:tcPr>
          <w:p>
            <w:pPr>
              <w:ind w:left="20"/>
              <w:spacing w:after="0" w:line="189" w:lineRule="exact"/>
              <w:rPr>
                <w:sz w:val="20"/>
                <w:szCs w:val="20"/>
                <w:color w:val="auto"/>
              </w:rPr>
            </w:pPr>
            <w:r>
              <w:rPr>
                <w:rFonts w:ascii="Arial" w:cs="Arial" w:eastAsia="Arial" w:hAnsi="Arial"/>
                <w:sz w:val="17"/>
                <w:szCs w:val="17"/>
                <w:color w:val="auto"/>
              </w:rPr>
              <w:t>Stock,</w:t>
            </w:r>
          </w:p>
        </w:tc>
        <w:tc>
          <w:tcPr>
            <w:tcW w:w="20" w:type="dxa"/>
            <w:vAlign w:val="bottom"/>
          </w:tcPr>
          <w:p>
            <w:pPr>
              <w:spacing w:after="0"/>
              <w:rPr>
                <w:sz w:val="16"/>
                <w:szCs w:val="16"/>
                <w:color w:val="auto"/>
              </w:rPr>
            </w:pPr>
          </w:p>
        </w:tc>
        <w:tc>
          <w:tcPr>
            <w:tcW w:w="9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80" w:type="dxa"/>
            <w:vAlign w:val="bottom"/>
            <w:shd w:val="clear" w:color="auto" w:fill="E7E7E2"/>
          </w:tcPr>
          <w:p>
            <w:pPr>
              <w:spacing w:after="0"/>
              <w:rPr>
                <w:sz w:val="16"/>
                <w:szCs w:val="16"/>
                <w:color w:val="auto"/>
              </w:rPr>
            </w:pPr>
          </w:p>
        </w:tc>
        <w:tc>
          <w:tcPr>
            <w:tcW w:w="40" w:type="dxa"/>
            <w:vAlign w:val="bottom"/>
          </w:tcPr>
          <w:p>
            <w:pPr>
              <w:spacing w:after="0"/>
              <w:rPr>
                <w:sz w:val="16"/>
                <w:szCs w:val="16"/>
                <w:color w:val="auto"/>
              </w:rPr>
            </w:pPr>
          </w:p>
        </w:tc>
        <w:tc>
          <w:tcPr>
            <w:tcW w:w="7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2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0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60" w:type="dxa"/>
            <w:vAlign w:val="bottom"/>
            <w:tcBorders>
              <w:right w:val="single" w:sz="8" w:color="auto"/>
            </w:tcBorders>
            <w:shd w:val="clear" w:color="auto" w:fill="E7E7E2"/>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0" w:type="dxa"/>
            <w:vAlign w:val="bottom"/>
            <w:tcBorders>
              <w:left w:val="single" w:sz="8" w:color="auto"/>
            </w:tcBorders>
          </w:tcPr>
          <w:p>
            <w:pPr>
              <w:spacing w:after="0"/>
              <w:rPr>
                <w:sz w:val="16"/>
                <w:szCs w:val="16"/>
                <w:color w:val="auto"/>
              </w:rPr>
            </w:pPr>
          </w:p>
        </w:tc>
        <w:tc>
          <w:tcPr>
            <w:tcW w:w="800" w:type="dxa"/>
            <w:vAlign w:val="bottom"/>
            <w:shd w:val="clear" w:color="auto" w:fill="E7E7E2"/>
          </w:tcPr>
          <w:p>
            <w:pPr>
              <w:spacing w:after="0" w:line="189" w:lineRule="exact"/>
              <w:rPr>
                <w:sz w:val="20"/>
                <w:szCs w:val="20"/>
                <w:color w:val="auto"/>
              </w:rPr>
            </w:pPr>
            <w:r>
              <w:rPr>
                <w:rFonts w:ascii="Arial" w:cs="Arial" w:eastAsia="Arial" w:hAnsi="Arial"/>
                <w:sz w:val="17"/>
                <w:szCs w:val="17"/>
                <w:color w:val="auto"/>
              </w:rPr>
              <w:t>Fees to</w:t>
            </w:r>
          </w:p>
        </w:tc>
        <w:tc>
          <w:tcPr>
            <w:tcW w:w="20" w:type="dxa"/>
            <w:vAlign w:val="bottom"/>
          </w:tcPr>
          <w:p>
            <w:pPr>
              <w:spacing w:after="0"/>
              <w:rPr>
                <w:sz w:val="16"/>
                <w:szCs w:val="16"/>
                <w:color w:val="auto"/>
              </w:rPr>
            </w:pPr>
          </w:p>
        </w:tc>
        <w:tc>
          <w:tcPr>
            <w:tcW w:w="120" w:type="dxa"/>
            <w:vAlign w:val="bottom"/>
            <w:vMerge w:val="restart"/>
            <w:shd w:val="clear" w:color="auto" w:fill="E7E7E2"/>
          </w:tcPr>
          <w:p>
            <w:pPr>
              <w:jc w:val="right"/>
              <w:spacing w:after="0"/>
              <w:rPr>
                <w:sz w:val="20"/>
                <w:szCs w:val="20"/>
                <w:color w:val="auto"/>
              </w:rPr>
            </w:pPr>
            <w:r>
              <w:rPr>
                <w:rFonts w:ascii="Arial" w:cs="Arial" w:eastAsia="Arial" w:hAnsi="Arial"/>
                <w:sz w:val="17"/>
                <w:szCs w:val="17"/>
                <w:color w:val="auto"/>
                <w:w w:val="84"/>
              </w:rPr>
              <w:t>1</w:t>
            </w:r>
          </w:p>
        </w:tc>
        <w:tc>
          <w:tcPr>
            <w:tcW w:w="20" w:type="dxa"/>
            <w:vAlign w:val="bottom"/>
          </w:tcPr>
          <w:p>
            <w:pPr>
              <w:spacing w:after="0"/>
              <w:rPr>
                <w:sz w:val="16"/>
                <w:szCs w:val="16"/>
                <w:color w:val="auto"/>
              </w:rPr>
            </w:pPr>
          </w:p>
        </w:tc>
        <w:tc>
          <w:tcPr>
            <w:tcW w:w="680" w:type="dxa"/>
            <w:vAlign w:val="bottom"/>
            <w:vMerge w:val="restart"/>
            <w:shd w:val="clear" w:color="auto" w:fill="E7E7E2"/>
          </w:tcPr>
          <w:p>
            <w:pPr>
              <w:spacing w:after="0"/>
              <w:rPr>
                <w:sz w:val="20"/>
                <w:szCs w:val="20"/>
                <w:color w:val="auto"/>
              </w:rPr>
            </w:pPr>
            <w:r>
              <w:rPr>
                <w:rFonts w:ascii="Arial" w:cs="Arial" w:eastAsia="Arial" w:hAnsi="Arial"/>
                <w:sz w:val="17"/>
                <w:szCs w:val="17"/>
                <w:color w:val="auto"/>
              </w:rPr>
              <w:t>Equity</w:t>
            </w:r>
          </w:p>
        </w:tc>
        <w:tc>
          <w:tcPr>
            <w:tcW w:w="20" w:type="dxa"/>
            <w:vAlign w:val="bottom"/>
          </w:tcPr>
          <w:p>
            <w:pPr>
              <w:spacing w:after="0"/>
              <w:rPr>
                <w:sz w:val="16"/>
                <w:szCs w:val="16"/>
                <w:color w:val="auto"/>
              </w:rPr>
            </w:pPr>
          </w:p>
        </w:tc>
        <w:tc>
          <w:tcPr>
            <w:tcW w:w="720" w:type="dxa"/>
            <w:vAlign w:val="bottom"/>
            <w:shd w:val="clear" w:color="auto" w:fill="E7E7E2"/>
          </w:tcPr>
          <w:p>
            <w:pPr>
              <w:ind w:left="20"/>
              <w:spacing w:after="0" w:line="189" w:lineRule="exact"/>
              <w:rPr>
                <w:sz w:val="20"/>
                <w:szCs w:val="20"/>
                <w:color w:val="auto"/>
              </w:rPr>
            </w:pPr>
            <w:r>
              <w:rPr>
                <w:rFonts w:ascii="Arial" w:cs="Arial" w:eastAsia="Arial" w:hAnsi="Arial"/>
                <w:sz w:val="17"/>
                <w:szCs w:val="17"/>
                <w:color w:val="auto"/>
                <w:w w:val="97"/>
              </w:rPr>
              <w:t>par value</w:t>
            </w:r>
          </w:p>
        </w:tc>
        <w:tc>
          <w:tcPr>
            <w:tcW w:w="20" w:type="dxa"/>
            <w:vAlign w:val="bottom"/>
          </w:tcPr>
          <w:p>
            <w:pPr>
              <w:spacing w:after="0"/>
              <w:rPr>
                <w:sz w:val="16"/>
                <w:szCs w:val="16"/>
                <w:color w:val="auto"/>
              </w:rPr>
            </w:pPr>
          </w:p>
        </w:tc>
        <w:tc>
          <w:tcPr>
            <w:tcW w:w="940" w:type="dxa"/>
            <w:vAlign w:val="bottom"/>
            <w:vMerge w:val="restart"/>
            <w:shd w:val="clear" w:color="auto" w:fill="E7E7E2"/>
          </w:tcPr>
          <w:p>
            <w:pPr>
              <w:jc w:val="center"/>
              <w:spacing w:after="0"/>
              <w:rPr>
                <w:sz w:val="20"/>
                <w:szCs w:val="20"/>
                <w:color w:val="auto"/>
              </w:rPr>
            </w:pPr>
            <w:r>
              <w:rPr>
                <w:rFonts w:ascii="Arial" w:cs="Arial" w:eastAsia="Arial" w:hAnsi="Arial"/>
                <w:sz w:val="17"/>
                <w:szCs w:val="17"/>
                <w:color w:val="auto"/>
              </w:rPr>
              <w:t>457(r)</w:t>
            </w:r>
          </w:p>
        </w:tc>
        <w:tc>
          <w:tcPr>
            <w:tcW w:w="20" w:type="dxa"/>
            <w:vAlign w:val="bottom"/>
          </w:tcPr>
          <w:p>
            <w:pPr>
              <w:spacing w:after="0"/>
              <w:rPr>
                <w:sz w:val="16"/>
                <w:szCs w:val="16"/>
                <w:color w:val="auto"/>
              </w:rPr>
            </w:pPr>
          </w:p>
        </w:tc>
        <w:tc>
          <w:tcPr>
            <w:tcW w:w="880" w:type="dxa"/>
            <w:vAlign w:val="bottom"/>
            <w:vMerge w:val="restart"/>
            <w:shd w:val="clear" w:color="auto" w:fill="E7E7E2"/>
          </w:tcPr>
          <w:p>
            <w:pPr>
              <w:jc w:val="right"/>
              <w:spacing w:after="0"/>
              <w:rPr>
                <w:sz w:val="20"/>
                <w:szCs w:val="20"/>
                <w:color w:val="auto"/>
              </w:rPr>
            </w:pPr>
            <w:r>
              <w:rPr>
                <w:rFonts w:ascii="Arial" w:cs="Arial" w:eastAsia="Arial" w:hAnsi="Arial"/>
                <w:sz w:val="17"/>
                <w:szCs w:val="17"/>
                <w:color w:val="auto"/>
              </w:rPr>
              <w:t>12,266,667</w:t>
            </w:r>
          </w:p>
        </w:tc>
        <w:tc>
          <w:tcPr>
            <w:tcW w:w="40" w:type="dxa"/>
            <w:vAlign w:val="bottom"/>
          </w:tcPr>
          <w:p>
            <w:pPr>
              <w:spacing w:after="0"/>
              <w:rPr>
                <w:sz w:val="16"/>
                <w:szCs w:val="16"/>
                <w:color w:val="auto"/>
              </w:rPr>
            </w:pPr>
          </w:p>
        </w:tc>
        <w:tc>
          <w:tcPr>
            <w:tcW w:w="780" w:type="dxa"/>
            <w:vAlign w:val="bottom"/>
            <w:vMerge w:val="restart"/>
            <w:shd w:val="clear" w:color="auto" w:fill="E7E7E2"/>
          </w:tcPr>
          <w:p>
            <w:pPr>
              <w:ind w:left="220"/>
              <w:spacing w:after="0"/>
              <w:rPr>
                <w:sz w:val="20"/>
                <w:szCs w:val="20"/>
                <w:color w:val="auto"/>
              </w:rPr>
            </w:pPr>
            <w:r>
              <w:rPr>
                <w:rFonts w:ascii="Arial" w:cs="Arial" w:eastAsia="Arial" w:hAnsi="Arial"/>
                <w:sz w:val="17"/>
                <w:szCs w:val="17"/>
                <w:color w:val="auto"/>
                <w:w w:val="95"/>
              </w:rPr>
              <w:t>$ 37.50</w:t>
            </w:r>
          </w:p>
        </w:tc>
        <w:tc>
          <w:tcPr>
            <w:tcW w:w="20" w:type="dxa"/>
            <w:vAlign w:val="bottom"/>
          </w:tcPr>
          <w:p>
            <w:pPr>
              <w:spacing w:after="0"/>
              <w:rPr>
                <w:sz w:val="16"/>
                <w:szCs w:val="16"/>
                <w:color w:val="auto"/>
              </w:rPr>
            </w:pPr>
          </w:p>
        </w:tc>
        <w:tc>
          <w:tcPr>
            <w:tcW w:w="1200" w:type="dxa"/>
            <w:vAlign w:val="bottom"/>
            <w:shd w:val="clear" w:color="auto" w:fill="E7E7E2"/>
          </w:tcPr>
          <w:p>
            <w:pPr>
              <w:jc w:val="right"/>
              <w:spacing w:after="0" w:line="189" w:lineRule="exact"/>
              <w:rPr>
                <w:sz w:val="20"/>
                <w:szCs w:val="20"/>
                <w:color w:val="auto"/>
              </w:rPr>
            </w:pPr>
            <w:r>
              <w:rPr>
                <w:rFonts w:ascii="Arial" w:cs="Arial" w:eastAsia="Arial" w:hAnsi="Arial"/>
                <w:sz w:val="17"/>
                <w:szCs w:val="17"/>
                <w:color w:val="auto"/>
              </w:rPr>
              <w:t>$</w:t>
            </w:r>
          </w:p>
        </w:tc>
        <w:tc>
          <w:tcPr>
            <w:tcW w:w="20" w:type="dxa"/>
            <w:vAlign w:val="bottom"/>
          </w:tcPr>
          <w:p>
            <w:pPr>
              <w:spacing w:after="0"/>
              <w:rPr>
                <w:sz w:val="16"/>
                <w:szCs w:val="16"/>
                <w:color w:val="auto"/>
              </w:rPr>
            </w:pPr>
          </w:p>
        </w:tc>
        <w:tc>
          <w:tcPr>
            <w:tcW w:w="820" w:type="dxa"/>
            <w:vAlign w:val="bottom"/>
            <w:vMerge w:val="restart"/>
            <w:shd w:val="clear" w:color="auto" w:fill="E7E7E2"/>
          </w:tcPr>
          <w:p>
            <w:pPr>
              <w:jc w:val="center"/>
              <w:spacing w:after="0"/>
              <w:rPr>
                <w:sz w:val="20"/>
                <w:szCs w:val="20"/>
                <w:color w:val="auto"/>
              </w:rPr>
            </w:pPr>
            <w:r>
              <w:rPr>
                <w:rFonts w:ascii="Arial" w:cs="Arial" w:eastAsia="Arial" w:hAnsi="Arial"/>
                <w:sz w:val="17"/>
                <w:szCs w:val="17"/>
                <w:color w:val="auto"/>
                <w:w w:val="99"/>
              </w:rPr>
              <w:t>0.0001381</w:t>
            </w:r>
          </w:p>
        </w:tc>
        <w:tc>
          <w:tcPr>
            <w:tcW w:w="20" w:type="dxa"/>
            <w:vAlign w:val="bottom"/>
          </w:tcPr>
          <w:p>
            <w:pPr>
              <w:spacing w:after="0"/>
              <w:rPr>
                <w:sz w:val="16"/>
                <w:szCs w:val="16"/>
                <w:color w:val="auto"/>
              </w:rPr>
            </w:pPr>
          </w:p>
        </w:tc>
        <w:tc>
          <w:tcPr>
            <w:tcW w:w="1020" w:type="dxa"/>
            <w:vAlign w:val="bottom"/>
            <w:vMerge w:val="restart"/>
            <w:shd w:val="clear" w:color="auto" w:fill="E7E7E2"/>
          </w:tcPr>
          <w:p>
            <w:pPr>
              <w:jc w:val="right"/>
              <w:spacing w:after="0"/>
              <w:rPr>
                <w:sz w:val="20"/>
                <w:szCs w:val="20"/>
                <w:color w:val="auto"/>
              </w:rPr>
            </w:pPr>
            <w:r>
              <w:rPr>
                <w:rFonts w:ascii="Arial" w:cs="Arial" w:eastAsia="Arial" w:hAnsi="Arial"/>
                <w:sz w:val="17"/>
                <w:szCs w:val="17"/>
                <w:color w:val="auto"/>
              </w:rPr>
              <w:t>$ 63,526.01</w:t>
            </w:r>
          </w:p>
        </w:tc>
        <w:tc>
          <w:tcPr>
            <w:tcW w:w="20" w:type="dxa"/>
            <w:vAlign w:val="bottom"/>
          </w:tcPr>
          <w:p>
            <w:pPr>
              <w:spacing w:after="0"/>
              <w:rPr>
                <w:sz w:val="16"/>
                <w:szCs w:val="16"/>
                <w:color w:val="auto"/>
              </w:rPr>
            </w:pPr>
          </w:p>
        </w:tc>
        <w:tc>
          <w:tcPr>
            <w:tcW w:w="7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60" w:type="dxa"/>
            <w:vAlign w:val="bottom"/>
            <w:tcBorders>
              <w:right w:val="single" w:sz="8" w:color="auto"/>
            </w:tcBorders>
            <w:shd w:val="clear" w:color="auto" w:fill="E7E7E2"/>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0" w:type="dxa"/>
            <w:vAlign w:val="bottom"/>
            <w:tcBorders>
              <w:left w:val="single" w:sz="8" w:color="auto"/>
            </w:tcBorders>
          </w:tcPr>
          <w:p>
            <w:pPr>
              <w:spacing w:after="0"/>
              <w:rPr>
                <w:sz w:val="16"/>
                <w:szCs w:val="16"/>
                <w:color w:val="auto"/>
              </w:rPr>
            </w:pPr>
          </w:p>
        </w:tc>
        <w:tc>
          <w:tcPr>
            <w:tcW w:w="800" w:type="dxa"/>
            <w:vAlign w:val="bottom"/>
            <w:shd w:val="clear" w:color="auto" w:fill="E7E7E2"/>
          </w:tcPr>
          <w:p>
            <w:pPr>
              <w:spacing w:after="0" w:line="189" w:lineRule="exact"/>
              <w:rPr>
                <w:sz w:val="20"/>
                <w:szCs w:val="20"/>
                <w:color w:val="auto"/>
              </w:rPr>
            </w:pPr>
            <w:r>
              <w:rPr>
                <w:rFonts w:ascii="Arial" w:cs="Arial" w:eastAsia="Arial" w:hAnsi="Arial"/>
                <w:sz w:val="17"/>
                <w:szCs w:val="17"/>
                <w:color w:val="auto"/>
              </w:rPr>
              <w:t>be Paid</w:t>
            </w:r>
          </w:p>
        </w:tc>
        <w:tc>
          <w:tcPr>
            <w:tcW w:w="20" w:type="dxa"/>
            <w:vAlign w:val="bottom"/>
          </w:tcPr>
          <w:p>
            <w:pPr>
              <w:spacing w:after="0"/>
              <w:rPr>
                <w:sz w:val="16"/>
                <w:szCs w:val="16"/>
                <w:color w:val="auto"/>
              </w:rPr>
            </w:pPr>
          </w:p>
        </w:tc>
        <w:tc>
          <w:tcPr>
            <w:tcW w:w="120" w:type="dxa"/>
            <w:vAlign w:val="bottom"/>
            <w:vMerge w:val="continue"/>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vMerge w:val="continue"/>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E7E7E2"/>
          </w:tcPr>
          <w:p>
            <w:pPr>
              <w:ind w:left="20"/>
              <w:spacing w:after="0" w:line="189" w:lineRule="exact"/>
              <w:rPr>
                <w:sz w:val="20"/>
                <w:szCs w:val="20"/>
                <w:color w:val="auto"/>
              </w:rPr>
            </w:pPr>
            <w:r>
              <w:rPr>
                <w:rFonts w:ascii="Arial" w:cs="Arial" w:eastAsia="Arial" w:hAnsi="Arial"/>
                <w:sz w:val="17"/>
                <w:szCs w:val="17"/>
                <w:color w:val="auto"/>
              </w:rPr>
              <w:t>$0.001</w:t>
            </w:r>
          </w:p>
        </w:tc>
        <w:tc>
          <w:tcPr>
            <w:tcW w:w="20" w:type="dxa"/>
            <w:vAlign w:val="bottom"/>
          </w:tcPr>
          <w:p>
            <w:pPr>
              <w:spacing w:after="0"/>
              <w:rPr>
                <w:sz w:val="16"/>
                <w:szCs w:val="16"/>
                <w:color w:val="auto"/>
              </w:rPr>
            </w:pPr>
          </w:p>
        </w:tc>
        <w:tc>
          <w:tcPr>
            <w:tcW w:w="940" w:type="dxa"/>
            <w:vAlign w:val="bottom"/>
            <w:vMerge w:val="continue"/>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80" w:type="dxa"/>
            <w:vAlign w:val="bottom"/>
            <w:vMerge w:val="continue"/>
            <w:shd w:val="clear" w:color="auto" w:fill="E7E7E2"/>
          </w:tcPr>
          <w:p>
            <w:pPr>
              <w:spacing w:after="0"/>
              <w:rPr>
                <w:sz w:val="16"/>
                <w:szCs w:val="16"/>
                <w:color w:val="auto"/>
              </w:rPr>
            </w:pPr>
          </w:p>
        </w:tc>
        <w:tc>
          <w:tcPr>
            <w:tcW w:w="40" w:type="dxa"/>
            <w:vAlign w:val="bottom"/>
          </w:tcPr>
          <w:p>
            <w:pPr>
              <w:spacing w:after="0"/>
              <w:rPr>
                <w:sz w:val="16"/>
                <w:szCs w:val="16"/>
                <w:color w:val="auto"/>
              </w:rPr>
            </w:pPr>
          </w:p>
        </w:tc>
        <w:tc>
          <w:tcPr>
            <w:tcW w:w="780" w:type="dxa"/>
            <w:vAlign w:val="bottom"/>
            <w:vMerge w:val="continue"/>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200" w:type="dxa"/>
            <w:vAlign w:val="bottom"/>
            <w:shd w:val="clear" w:color="auto" w:fill="E7E7E2"/>
          </w:tcPr>
          <w:p>
            <w:pPr>
              <w:jc w:val="right"/>
              <w:spacing w:after="0" w:line="189" w:lineRule="exact"/>
              <w:rPr>
                <w:sz w:val="20"/>
                <w:szCs w:val="20"/>
                <w:color w:val="auto"/>
              </w:rPr>
            </w:pPr>
            <w:r>
              <w:rPr>
                <w:rFonts w:ascii="Arial" w:cs="Arial" w:eastAsia="Arial" w:hAnsi="Arial"/>
                <w:sz w:val="17"/>
                <w:szCs w:val="17"/>
                <w:color w:val="auto"/>
                <w:w w:val="99"/>
              </w:rPr>
              <w:t>460,000,012.50</w:t>
            </w:r>
          </w:p>
        </w:tc>
        <w:tc>
          <w:tcPr>
            <w:tcW w:w="20" w:type="dxa"/>
            <w:vAlign w:val="bottom"/>
          </w:tcPr>
          <w:p>
            <w:pPr>
              <w:spacing w:after="0"/>
              <w:rPr>
                <w:sz w:val="16"/>
                <w:szCs w:val="16"/>
                <w:color w:val="auto"/>
              </w:rPr>
            </w:pPr>
          </w:p>
        </w:tc>
        <w:tc>
          <w:tcPr>
            <w:tcW w:w="820" w:type="dxa"/>
            <w:vAlign w:val="bottom"/>
            <w:vMerge w:val="continue"/>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020" w:type="dxa"/>
            <w:vAlign w:val="bottom"/>
            <w:vMerge w:val="continue"/>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60" w:type="dxa"/>
            <w:vAlign w:val="bottom"/>
            <w:tcBorders>
              <w:right w:val="single" w:sz="8" w:color="auto"/>
            </w:tcBorders>
            <w:shd w:val="clear" w:color="auto" w:fill="E7E7E2"/>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0" w:type="dxa"/>
            <w:vAlign w:val="bottom"/>
            <w:tcBorders>
              <w:left w:val="single" w:sz="8" w:color="auto"/>
            </w:tcBorders>
          </w:tcPr>
          <w:p>
            <w:pPr>
              <w:spacing w:after="0"/>
              <w:rPr>
                <w:sz w:val="16"/>
                <w:szCs w:val="16"/>
                <w:color w:val="auto"/>
              </w:rPr>
            </w:pPr>
          </w:p>
        </w:tc>
        <w:tc>
          <w:tcPr>
            <w:tcW w:w="8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E7E7E2"/>
          </w:tcPr>
          <w:p>
            <w:pPr>
              <w:ind w:left="20"/>
              <w:spacing w:after="0" w:line="189" w:lineRule="exact"/>
              <w:rPr>
                <w:sz w:val="20"/>
                <w:szCs w:val="20"/>
                <w:color w:val="auto"/>
              </w:rPr>
            </w:pPr>
            <w:r>
              <w:rPr>
                <w:rFonts w:ascii="Arial" w:cs="Arial" w:eastAsia="Arial" w:hAnsi="Arial"/>
                <w:sz w:val="17"/>
                <w:szCs w:val="17"/>
                <w:color w:val="auto"/>
              </w:rPr>
              <w:t>per</w:t>
            </w:r>
          </w:p>
        </w:tc>
        <w:tc>
          <w:tcPr>
            <w:tcW w:w="20" w:type="dxa"/>
            <w:vAlign w:val="bottom"/>
          </w:tcPr>
          <w:p>
            <w:pPr>
              <w:spacing w:after="0"/>
              <w:rPr>
                <w:sz w:val="16"/>
                <w:szCs w:val="16"/>
                <w:color w:val="auto"/>
              </w:rPr>
            </w:pPr>
          </w:p>
        </w:tc>
        <w:tc>
          <w:tcPr>
            <w:tcW w:w="9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80" w:type="dxa"/>
            <w:vAlign w:val="bottom"/>
            <w:shd w:val="clear" w:color="auto" w:fill="E7E7E2"/>
          </w:tcPr>
          <w:p>
            <w:pPr>
              <w:spacing w:after="0"/>
              <w:rPr>
                <w:sz w:val="16"/>
                <w:szCs w:val="16"/>
                <w:color w:val="auto"/>
              </w:rPr>
            </w:pPr>
          </w:p>
        </w:tc>
        <w:tc>
          <w:tcPr>
            <w:tcW w:w="40" w:type="dxa"/>
            <w:vAlign w:val="bottom"/>
          </w:tcPr>
          <w:p>
            <w:pPr>
              <w:spacing w:after="0"/>
              <w:rPr>
                <w:sz w:val="16"/>
                <w:szCs w:val="16"/>
                <w:color w:val="auto"/>
              </w:rPr>
            </w:pPr>
          </w:p>
        </w:tc>
        <w:tc>
          <w:tcPr>
            <w:tcW w:w="7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2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0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60" w:type="dxa"/>
            <w:vAlign w:val="bottom"/>
            <w:tcBorders>
              <w:right w:val="single" w:sz="8" w:color="auto"/>
            </w:tcBorders>
            <w:shd w:val="clear" w:color="auto" w:fill="E7E7E2"/>
          </w:tcPr>
          <w:p>
            <w:pPr>
              <w:spacing w:after="0"/>
              <w:rPr>
                <w:sz w:val="16"/>
                <w:szCs w:val="16"/>
                <w:color w:val="auto"/>
              </w:rPr>
            </w:pPr>
          </w:p>
        </w:tc>
        <w:tc>
          <w:tcPr>
            <w:tcW w:w="0" w:type="dxa"/>
            <w:vAlign w:val="bottom"/>
          </w:tcPr>
          <w:p>
            <w:pPr>
              <w:spacing w:after="0"/>
              <w:rPr>
                <w:sz w:val="1"/>
                <w:szCs w:val="1"/>
                <w:color w:val="auto"/>
              </w:rPr>
            </w:pPr>
          </w:p>
        </w:tc>
      </w:tr>
      <w:tr>
        <w:trPr>
          <w:trHeight w:val="221"/>
        </w:trPr>
        <w:tc>
          <w:tcPr>
            <w:tcW w:w="40" w:type="dxa"/>
            <w:vAlign w:val="bottom"/>
            <w:tcBorders>
              <w:left w:val="single" w:sz="8" w:color="auto"/>
            </w:tcBorders>
          </w:tcPr>
          <w:p>
            <w:pPr>
              <w:spacing w:after="0"/>
              <w:rPr>
                <w:sz w:val="19"/>
                <w:szCs w:val="19"/>
                <w:color w:val="auto"/>
              </w:rPr>
            </w:pPr>
          </w:p>
        </w:tc>
        <w:tc>
          <w:tcPr>
            <w:tcW w:w="8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68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20" w:type="dxa"/>
            <w:vAlign w:val="bottom"/>
            <w:shd w:val="clear" w:color="auto" w:fill="E7E7E2"/>
          </w:tcPr>
          <w:p>
            <w:pPr>
              <w:ind w:left="20"/>
              <w:spacing w:after="0"/>
              <w:rPr>
                <w:sz w:val="20"/>
                <w:szCs w:val="20"/>
                <w:color w:val="auto"/>
              </w:rPr>
            </w:pPr>
            <w:r>
              <w:rPr>
                <w:rFonts w:ascii="Arial" w:cs="Arial" w:eastAsia="Arial" w:hAnsi="Arial"/>
                <w:sz w:val="17"/>
                <w:szCs w:val="17"/>
                <w:color w:val="auto"/>
              </w:rPr>
              <w:t>share</w:t>
            </w:r>
          </w:p>
        </w:tc>
        <w:tc>
          <w:tcPr>
            <w:tcW w:w="20" w:type="dxa"/>
            <w:vAlign w:val="bottom"/>
          </w:tcPr>
          <w:p>
            <w:pPr>
              <w:spacing w:after="0"/>
              <w:rPr>
                <w:sz w:val="19"/>
                <w:szCs w:val="19"/>
                <w:color w:val="auto"/>
              </w:rPr>
            </w:pPr>
          </w:p>
        </w:tc>
        <w:tc>
          <w:tcPr>
            <w:tcW w:w="94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880" w:type="dxa"/>
            <w:vAlign w:val="bottom"/>
            <w:shd w:val="clear" w:color="auto" w:fill="E7E7E2"/>
          </w:tcPr>
          <w:p>
            <w:pPr>
              <w:spacing w:after="0"/>
              <w:rPr>
                <w:sz w:val="19"/>
                <w:szCs w:val="19"/>
                <w:color w:val="auto"/>
              </w:rPr>
            </w:pPr>
          </w:p>
        </w:tc>
        <w:tc>
          <w:tcPr>
            <w:tcW w:w="40" w:type="dxa"/>
            <w:vAlign w:val="bottom"/>
          </w:tcPr>
          <w:p>
            <w:pPr>
              <w:spacing w:after="0"/>
              <w:rPr>
                <w:sz w:val="19"/>
                <w:szCs w:val="19"/>
                <w:color w:val="auto"/>
              </w:rPr>
            </w:pPr>
          </w:p>
        </w:tc>
        <w:tc>
          <w:tcPr>
            <w:tcW w:w="78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12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8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10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68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4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960" w:type="dxa"/>
            <w:vAlign w:val="bottom"/>
            <w:tcBorders>
              <w:right w:val="single" w:sz="8" w:color="auto"/>
            </w:tcBorders>
            <w:shd w:val="clear" w:color="auto" w:fill="E7E7E2"/>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40" w:type="dxa"/>
            <w:vAlign w:val="bottom"/>
            <w:tcBorders>
              <w:left w:val="single" w:sz="8" w:color="auto"/>
            </w:tcBorders>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60" w:type="dxa"/>
            <w:vAlign w:val="bottom"/>
            <w:tcBorders>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9"/>
        </w:trPr>
        <w:tc>
          <w:tcPr>
            <w:tcW w:w="40" w:type="dxa"/>
            <w:vAlign w:val="bottom"/>
            <w:tcBorders>
              <w:left w:val="single" w:sz="8" w:color="auto"/>
            </w:tcBorders>
          </w:tcPr>
          <w:p>
            <w:pPr>
              <w:spacing w:after="0"/>
              <w:rPr>
                <w:sz w:val="15"/>
                <w:szCs w:val="15"/>
                <w:color w:val="auto"/>
              </w:rPr>
            </w:pPr>
          </w:p>
        </w:tc>
        <w:tc>
          <w:tcPr>
            <w:tcW w:w="8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6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20" w:type="dxa"/>
            <w:vAlign w:val="bottom"/>
            <w:shd w:val="clear" w:color="auto" w:fill="E7E7E2"/>
          </w:tcPr>
          <w:p>
            <w:pPr>
              <w:ind w:left="20"/>
              <w:spacing w:after="0" w:line="179" w:lineRule="exact"/>
              <w:rPr>
                <w:sz w:val="20"/>
                <w:szCs w:val="20"/>
                <w:color w:val="auto"/>
              </w:rPr>
            </w:pPr>
            <w:r>
              <w:rPr>
                <w:rFonts w:ascii="Arial" w:cs="Arial" w:eastAsia="Arial" w:hAnsi="Arial"/>
                <w:sz w:val="17"/>
                <w:szCs w:val="17"/>
                <w:color w:val="auto"/>
              </w:rPr>
              <w:t>Pre-</w:t>
            </w:r>
          </w:p>
        </w:tc>
        <w:tc>
          <w:tcPr>
            <w:tcW w:w="20" w:type="dxa"/>
            <w:vAlign w:val="bottom"/>
          </w:tcPr>
          <w:p>
            <w:pPr>
              <w:spacing w:after="0"/>
              <w:rPr>
                <w:sz w:val="15"/>
                <w:szCs w:val="15"/>
                <w:color w:val="auto"/>
              </w:rPr>
            </w:pPr>
          </w:p>
        </w:tc>
        <w:tc>
          <w:tcPr>
            <w:tcW w:w="94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80" w:type="dxa"/>
            <w:vAlign w:val="bottom"/>
            <w:shd w:val="clear" w:color="auto" w:fill="E7E7E2"/>
          </w:tcPr>
          <w:p>
            <w:pPr>
              <w:spacing w:after="0"/>
              <w:rPr>
                <w:sz w:val="15"/>
                <w:szCs w:val="15"/>
                <w:color w:val="auto"/>
              </w:rPr>
            </w:pPr>
          </w:p>
        </w:tc>
        <w:tc>
          <w:tcPr>
            <w:tcW w:w="40" w:type="dxa"/>
            <w:vAlign w:val="bottom"/>
          </w:tcPr>
          <w:p>
            <w:pPr>
              <w:spacing w:after="0"/>
              <w:rPr>
                <w:sz w:val="15"/>
                <w:szCs w:val="15"/>
                <w:color w:val="auto"/>
              </w:rPr>
            </w:pPr>
          </w:p>
        </w:tc>
        <w:tc>
          <w:tcPr>
            <w:tcW w:w="7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12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10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6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4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960" w:type="dxa"/>
            <w:vAlign w:val="bottom"/>
            <w:tcBorders>
              <w:right w:val="single" w:sz="8" w:color="auto"/>
            </w:tcBorders>
            <w:shd w:val="clear" w:color="auto" w:fill="E7E7E2"/>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40" w:type="dxa"/>
            <w:vAlign w:val="bottom"/>
            <w:tcBorders>
              <w:left w:val="single" w:sz="8" w:color="auto"/>
            </w:tcBorders>
          </w:tcPr>
          <w:p>
            <w:pPr>
              <w:spacing w:after="0"/>
              <w:rPr>
                <w:sz w:val="16"/>
                <w:szCs w:val="16"/>
                <w:color w:val="auto"/>
              </w:rPr>
            </w:pPr>
          </w:p>
        </w:tc>
        <w:tc>
          <w:tcPr>
            <w:tcW w:w="8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E7E7E2"/>
          </w:tcPr>
          <w:p>
            <w:pPr>
              <w:ind w:left="20"/>
              <w:spacing w:after="0" w:line="189" w:lineRule="exact"/>
              <w:rPr>
                <w:sz w:val="20"/>
                <w:szCs w:val="20"/>
                <w:color w:val="auto"/>
              </w:rPr>
            </w:pPr>
            <w:r>
              <w:rPr>
                <w:rFonts w:ascii="Arial" w:cs="Arial" w:eastAsia="Arial" w:hAnsi="Arial"/>
                <w:sz w:val="17"/>
                <w:szCs w:val="17"/>
                <w:color w:val="auto"/>
              </w:rPr>
              <w:t>Funded</w:t>
            </w:r>
          </w:p>
        </w:tc>
        <w:tc>
          <w:tcPr>
            <w:tcW w:w="20" w:type="dxa"/>
            <w:vAlign w:val="bottom"/>
          </w:tcPr>
          <w:p>
            <w:pPr>
              <w:spacing w:after="0"/>
              <w:rPr>
                <w:sz w:val="16"/>
                <w:szCs w:val="16"/>
                <w:color w:val="auto"/>
              </w:rPr>
            </w:pPr>
          </w:p>
        </w:tc>
        <w:tc>
          <w:tcPr>
            <w:tcW w:w="9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80" w:type="dxa"/>
            <w:vAlign w:val="bottom"/>
            <w:shd w:val="clear" w:color="auto" w:fill="E7E7E2"/>
          </w:tcPr>
          <w:p>
            <w:pPr>
              <w:spacing w:after="0"/>
              <w:rPr>
                <w:sz w:val="16"/>
                <w:szCs w:val="16"/>
                <w:color w:val="auto"/>
              </w:rPr>
            </w:pPr>
          </w:p>
        </w:tc>
        <w:tc>
          <w:tcPr>
            <w:tcW w:w="40" w:type="dxa"/>
            <w:vAlign w:val="bottom"/>
          </w:tcPr>
          <w:p>
            <w:pPr>
              <w:spacing w:after="0"/>
              <w:rPr>
                <w:sz w:val="16"/>
                <w:szCs w:val="16"/>
                <w:color w:val="auto"/>
              </w:rPr>
            </w:pPr>
          </w:p>
        </w:tc>
        <w:tc>
          <w:tcPr>
            <w:tcW w:w="7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2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0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60" w:type="dxa"/>
            <w:vAlign w:val="bottom"/>
            <w:tcBorders>
              <w:right w:val="single" w:sz="8" w:color="auto"/>
            </w:tcBorders>
            <w:shd w:val="clear" w:color="auto" w:fill="E7E7E2"/>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0" w:type="dxa"/>
            <w:vAlign w:val="bottom"/>
            <w:tcBorders>
              <w:left w:val="single" w:sz="8" w:color="auto"/>
            </w:tcBorders>
          </w:tcPr>
          <w:p>
            <w:pPr>
              <w:spacing w:after="0"/>
              <w:rPr>
                <w:sz w:val="16"/>
                <w:szCs w:val="16"/>
                <w:color w:val="auto"/>
              </w:rPr>
            </w:pPr>
          </w:p>
        </w:tc>
        <w:tc>
          <w:tcPr>
            <w:tcW w:w="8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E7E7E2"/>
          </w:tcPr>
          <w:p>
            <w:pPr>
              <w:ind w:left="20"/>
              <w:spacing w:after="0" w:line="189" w:lineRule="exact"/>
              <w:rPr>
                <w:sz w:val="20"/>
                <w:szCs w:val="20"/>
                <w:color w:val="auto"/>
              </w:rPr>
            </w:pPr>
            <w:r>
              <w:rPr>
                <w:rFonts w:ascii="Arial" w:cs="Arial" w:eastAsia="Arial" w:hAnsi="Arial"/>
                <w:sz w:val="17"/>
                <w:szCs w:val="17"/>
                <w:color w:val="auto"/>
                <w:w w:val="98"/>
              </w:rPr>
              <w:t>Warrants</w:t>
            </w:r>
          </w:p>
        </w:tc>
        <w:tc>
          <w:tcPr>
            <w:tcW w:w="20" w:type="dxa"/>
            <w:vAlign w:val="bottom"/>
          </w:tcPr>
          <w:p>
            <w:pPr>
              <w:spacing w:after="0"/>
              <w:rPr>
                <w:sz w:val="16"/>
                <w:szCs w:val="16"/>
                <w:color w:val="auto"/>
              </w:rPr>
            </w:pPr>
          </w:p>
        </w:tc>
        <w:tc>
          <w:tcPr>
            <w:tcW w:w="9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80" w:type="dxa"/>
            <w:vAlign w:val="bottom"/>
            <w:shd w:val="clear" w:color="auto" w:fill="E7E7E2"/>
          </w:tcPr>
          <w:p>
            <w:pPr>
              <w:spacing w:after="0"/>
              <w:rPr>
                <w:sz w:val="16"/>
                <w:szCs w:val="16"/>
                <w:color w:val="auto"/>
              </w:rPr>
            </w:pPr>
          </w:p>
        </w:tc>
        <w:tc>
          <w:tcPr>
            <w:tcW w:w="40" w:type="dxa"/>
            <w:vAlign w:val="bottom"/>
          </w:tcPr>
          <w:p>
            <w:pPr>
              <w:spacing w:after="0"/>
              <w:rPr>
                <w:sz w:val="16"/>
                <w:szCs w:val="16"/>
                <w:color w:val="auto"/>
              </w:rPr>
            </w:pPr>
          </w:p>
        </w:tc>
        <w:tc>
          <w:tcPr>
            <w:tcW w:w="7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2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0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60" w:type="dxa"/>
            <w:vAlign w:val="bottom"/>
            <w:tcBorders>
              <w:right w:val="single" w:sz="8" w:color="auto"/>
            </w:tcBorders>
            <w:shd w:val="clear" w:color="auto" w:fill="E7E7E2"/>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0" w:type="dxa"/>
            <w:vAlign w:val="bottom"/>
            <w:tcBorders>
              <w:left w:val="single" w:sz="8" w:color="auto"/>
            </w:tcBorders>
          </w:tcPr>
          <w:p>
            <w:pPr>
              <w:spacing w:after="0"/>
              <w:rPr>
                <w:sz w:val="16"/>
                <w:szCs w:val="16"/>
                <w:color w:val="auto"/>
              </w:rPr>
            </w:pPr>
          </w:p>
        </w:tc>
        <w:tc>
          <w:tcPr>
            <w:tcW w:w="8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E7E7E2"/>
          </w:tcPr>
          <w:p>
            <w:pPr>
              <w:ind w:left="20"/>
              <w:spacing w:after="0" w:line="189" w:lineRule="exact"/>
              <w:rPr>
                <w:sz w:val="20"/>
                <w:szCs w:val="20"/>
                <w:color w:val="auto"/>
              </w:rPr>
            </w:pPr>
            <w:r>
              <w:rPr>
                <w:rFonts w:ascii="Arial" w:cs="Arial" w:eastAsia="Arial" w:hAnsi="Arial"/>
                <w:sz w:val="17"/>
                <w:szCs w:val="17"/>
                <w:color w:val="auto"/>
              </w:rPr>
              <w:t>to</w:t>
            </w:r>
          </w:p>
        </w:tc>
        <w:tc>
          <w:tcPr>
            <w:tcW w:w="20" w:type="dxa"/>
            <w:vAlign w:val="bottom"/>
          </w:tcPr>
          <w:p>
            <w:pPr>
              <w:spacing w:after="0"/>
              <w:rPr>
                <w:sz w:val="16"/>
                <w:szCs w:val="16"/>
                <w:color w:val="auto"/>
              </w:rPr>
            </w:pPr>
          </w:p>
        </w:tc>
        <w:tc>
          <w:tcPr>
            <w:tcW w:w="9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80" w:type="dxa"/>
            <w:vAlign w:val="bottom"/>
            <w:shd w:val="clear" w:color="auto" w:fill="E7E7E2"/>
          </w:tcPr>
          <w:p>
            <w:pPr>
              <w:spacing w:after="0"/>
              <w:rPr>
                <w:sz w:val="16"/>
                <w:szCs w:val="16"/>
                <w:color w:val="auto"/>
              </w:rPr>
            </w:pPr>
          </w:p>
        </w:tc>
        <w:tc>
          <w:tcPr>
            <w:tcW w:w="40" w:type="dxa"/>
            <w:vAlign w:val="bottom"/>
          </w:tcPr>
          <w:p>
            <w:pPr>
              <w:spacing w:after="0"/>
              <w:rPr>
                <w:sz w:val="16"/>
                <w:szCs w:val="16"/>
                <w:color w:val="auto"/>
              </w:rPr>
            </w:pPr>
          </w:p>
        </w:tc>
        <w:tc>
          <w:tcPr>
            <w:tcW w:w="7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2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0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60" w:type="dxa"/>
            <w:vAlign w:val="bottom"/>
            <w:tcBorders>
              <w:right w:val="single" w:sz="8" w:color="auto"/>
            </w:tcBorders>
            <w:shd w:val="clear" w:color="auto" w:fill="E7E7E2"/>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0" w:type="dxa"/>
            <w:vAlign w:val="bottom"/>
            <w:tcBorders>
              <w:left w:val="single" w:sz="8" w:color="auto"/>
            </w:tcBorders>
          </w:tcPr>
          <w:p>
            <w:pPr>
              <w:spacing w:after="0"/>
              <w:rPr>
                <w:sz w:val="16"/>
                <w:szCs w:val="16"/>
                <w:color w:val="auto"/>
              </w:rPr>
            </w:pPr>
          </w:p>
        </w:tc>
        <w:tc>
          <w:tcPr>
            <w:tcW w:w="8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E7E7E2"/>
          </w:tcPr>
          <w:p>
            <w:pPr>
              <w:ind w:left="20"/>
              <w:spacing w:after="0" w:line="189" w:lineRule="exact"/>
              <w:rPr>
                <w:sz w:val="20"/>
                <w:szCs w:val="20"/>
                <w:color w:val="auto"/>
              </w:rPr>
            </w:pPr>
            <w:r>
              <w:rPr>
                <w:rFonts w:ascii="Arial" w:cs="Arial" w:eastAsia="Arial" w:hAnsi="Arial"/>
                <w:sz w:val="17"/>
                <w:szCs w:val="17"/>
                <w:color w:val="auto"/>
                <w:w w:val="97"/>
              </w:rPr>
              <w:t>purchase</w:t>
            </w:r>
          </w:p>
        </w:tc>
        <w:tc>
          <w:tcPr>
            <w:tcW w:w="20" w:type="dxa"/>
            <w:vAlign w:val="bottom"/>
          </w:tcPr>
          <w:p>
            <w:pPr>
              <w:spacing w:after="0"/>
              <w:rPr>
                <w:sz w:val="16"/>
                <w:szCs w:val="16"/>
                <w:color w:val="auto"/>
              </w:rPr>
            </w:pPr>
          </w:p>
        </w:tc>
        <w:tc>
          <w:tcPr>
            <w:tcW w:w="9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80" w:type="dxa"/>
            <w:vAlign w:val="bottom"/>
            <w:shd w:val="clear" w:color="auto" w:fill="E7E7E2"/>
          </w:tcPr>
          <w:p>
            <w:pPr>
              <w:spacing w:after="0"/>
              <w:rPr>
                <w:sz w:val="16"/>
                <w:szCs w:val="16"/>
                <w:color w:val="auto"/>
              </w:rPr>
            </w:pPr>
          </w:p>
        </w:tc>
        <w:tc>
          <w:tcPr>
            <w:tcW w:w="40" w:type="dxa"/>
            <w:vAlign w:val="bottom"/>
          </w:tcPr>
          <w:p>
            <w:pPr>
              <w:spacing w:after="0"/>
              <w:rPr>
                <w:sz w:val="16"/>
                <w:szCs w:val="16"/>
                <w:color w:val="auto"/>
              </w:rPr>
            </w:pPr>
          </w:p>
        </w:tc>
        <w:tc>
          <w:tcPr>
            <w:tcW w:w="7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2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0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60" w:type="dxa"/>
            <w:vAlign w:val="bottom"/>
            <w:tcBorders>
              <w:right w:val="single" w:sz="8" w:color="auto"/>
            </w:tcBorders>
            <w:shd w:val="clear" w:color="auto" w:fill="E7E7E2"/>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0" w:type="dxa"/>
            <w:vAlign w:val="bottom"/>
            <w:tcBorders>
              <w:left w:val="single" w:sz="8" w:color="auto"/>
            </w:tcBorders>
          </w:tcPr>
          <w:p>
            <w:pPr>
              <w:spacing w:after="0"/>
              <w:rPr>
                <w:sz w:val="16"/>
                <w:szCs w:val="16"/>
                <w:color w:val="auto"/>
              </w:rPr>
            </w:pPr>
          </w:p>
        </w:tc>
        <w:tc>
          <w:tcPr>
            <w:tcW w:w="800" w:type="dxa"/>
            <w:vAlign w:val="bottom"/>
            <w:shd w:val="clear" w:color="auto" w:fill="E7E7E2"/>
          </w:tcPr>
          <w:p>
            <w:pPr>
              <w:spacing w:after="0" w:line="189" w:lineRule="exact"/>
              <w:rPr>
                <w:sz w:val="20"/>
                <w:szCs w:val="20"/>
                <w:color w:val="auto"/>
              </w:rPr>
            </w:pPr>
            <w:r>
              <w:rPr>
                <w:rFonts w:ascii="Arial" w:cs="Arial" w:eastAsia="Arial" w:hAnsi="Arial"/>
                <w:sz w:val="17"/>
                <w:szCs w:val="17"/>
                <w:color w:val="auto"/>
              </w:rPr>
              <w:t>Fees to</w:t>
            </w:r>
          </w:p>
        </w:tc>
        <w:tc>
          <w:tcPr>
            <w:tcW w:w="20" w:type="dxa"/>
            <w:vAlign w:val="bottom"/>
          </w:tcPr>
          <w:p>
            <w:pPr>
              <w:spacing w:after="0"/>
              <w:rPr>
                <w:sz w:val="16"/>
                <w:szCs w:val="16"/>
                <w:color w:val="auto"/>
              </w:rPr>
            </w:pPr>
          </w:p>
        </w:tc>
        <w:tc>
          <w:tcPr>
            <w:tcW w:w="120" w:type="dxa"/>
            <w:vAlign w:val="bottom"/>
            <w:vMerge w:val="restart"/>
            <w:shd w:val="clear" w:color="auto" w:fill="E7E7E2"/>
          </w:tcPr>
          <w:p>
            <w:pPr>
              <w:jc w:val="right"/>
              <w:spacing w:after="0"/>
              <w:rPr>
                <w:sz w:val="20"/>
                <w:szCs w:val="20"/>
                <w:color w:val="auto"/>
              </w:rPr>
            </w:pPr>
            <w:r>
              <w:rPr>
                <w:rFonts w:ascii="Arial" w:cs="Arial" w:eastAsia="Arial" w:hAnsi="Arial"/>
                <w:sz w:val="17"/>
                <w:szCs w:val="17"/>
                <w:color w:val="auto"/>
                <w:w w:val="84"/>
              </w:rPr>
              <w:t>2</w:t>
            </w:r>
          </w:p>
        </w:tc>
        <w:tc>
          <w:tcPr>
            <w:tcW w:w="20" w:type="dxa"/>
            <w:vAlign w:val="bottom"/>
          </w:tcPr>
          <w:p>
            <w:pPr>
              <w:spacing w:after="0"/>
              <w:rPr>
                <w:sz w:val="16"/>
                <w:szCs w:val="16"/>
                <w:color w:val="auto"/>
              </w:rPr>
            </w:pPr>
          </w:p>
        </w:tc>
        <w:tc>
          <w:tcPr>
            <w:tcW w:w="680" w:type="dxa"/>
            <w:vAlign w:val="bottom"/>
            <w:vMerge w:val="restart"/>
            <w:shd w:val="clear" w:color="auto" w:fill="E7E7E2"/>
          </w:tcPr>
          <w:p>
            <w:pPr>
              <w:spacing w:after="0"/>
              <w:rPr>
                <w:sz w:val="20"/>
                <w:szCs w:val="20"/>
                <w:color w:val="auto"/>
              </w:rPr>
            </w:pPr>
            <w:r>
              <w:rPr>
                <w:rFonts w:ascii="Arial" w:cs="Arial" w:eastAsia="Arial" w:hAnsi="Arial"/>
                <w:sz w:val="17"/>
                <w:szCs w:val="17"/>
                <w:color w:val="auto"/>
              </w:rPr>
              <w:t>Equity</w:t>
            </w:r>
          </w:p>
        </w:tc>
        <w:tc>
          <w:tcPr>
            <w:tcW w:w="20" w:type="dxa"/>
            <w:vAlign w:val="bottom"/>
          </w:tcPr>
          <w:p>
            <w:pPr>
              <w:spacing w:after="0"/>
              <w:rPr>
                <w:sz w:val="16"/>
                <w:szCs w:val="16"/>
                <w:color w:val="auto"/>
              </w:rPr>
            </w:pPr>
          </w:p>
        </w:tc>
        <w:tc>
          <w:tcPr>
            <w:tcW w:w="720" w:type="dxa"/>
            <w:vAlign w:val="bottom"/>
            <w:shd w:val="clear" w:color="auto" w:fill="E7E7E2"/>
          </w:tcPr>
          <w:p>
            <w:pPr>
              <w:ind w:left="20"/>
              <w:spacing w:after="0" w:line="189" w:lineRule="exact"/>
              <w:rPr>
                <w:sz w:val="20"/>
                <w:szCs w:val="20"/>
                <w:color w:val="auto"/>
              </w:rPr>
            </w:pPr>
            <w:r>
              <w:rPr>
                <w:rFonts w:ascii="Arial" w:cs="Arial" w:eastAsia="Arial" w:hAnsi="Arial"/>
                <w:sz w:val="17"/>
                <w:szCs w:val="17"/>
                <w:color w:val="auto"/>
                <w:w w:val="97"/>
              </w:rPr>
              <w:t>shares of</w:t>
            </w:r>
          </w:p>
        </w:tc>
        <w:tc>
          <w:tcPr>
            <w:tcW w:w="20" w:type="dxa"/>
            <w:vAlign w:val="bottom"/>
          </w:tcPr>
          <w:p>
            <w:pPr>
              <w:spacing w:after="0"/>
              <w:rPr>
                <w:sz w:val="16"/>
                <w:szCs w:val="16"/>
                <w:color w:val="auto"/>
              </w:rPr>
            </w:pPr>
          </w:p>
        </w:tc>
        <w:tc>
          <w:tcPr>
            <w:tcW w:w="940" w:type="dxa"/>
            <w:vAlign w:val="bottom"/>
            <w:vMerge w:val="restart"/>
            <w:shd w:val="clear" w:color="auto" w:fill="E7E7E2"/>
          </w:tcPr>
          <w:p>
            <w:pPr>
              <w:jc w:val="center"/>
              <w:spacing w:after="0"/>
              <w:rPr>
                <w:sz w:val="20"/>
                <w:szCs w:val="20"/>
                <w:color w:val="auto"/>
              </w:rPr>
            </w:pPr>
            <w:r>
              <w:rPr>
                <w:rFonts w:ascii="Arial" w:cs="Arial" w:eastAsia="Arial" w:hAnsi="Arial"/>
                <w:sz w:val="17"/>
                <w:szCs w:val="17"/>
                <w:color w:val="auto"/>
                <w:w w:val="98"/>
              </w:rPr>
              <w:t>Other</w:t>
            </w:r>
          </w:p>
        </w:tc>
        <w:tc>
          <w:tcPr>
            <w:tcW w:w="20" w:type="dxa"/>
            <w:vAlign w:val="bottom"/>
          </w:tcPr>
          <w:p>
            <w:pPr>
              <w:spacing w:after="0"/>
              <w:rPr>
                <w:sz w:val="16"/>
                <w:szCs w:val="16"/>
                <w:color w:val="auto"/>
              </w:rPr>
            </w:pPr>
          </w:p>
        </w:tc>
        <w:tc>
          <w:tcPr>
            <w:tcW w:w="880" w:type="dxa"/>
            <w:vAlign w:val="bottom"/>
            <w:vMerge w:val="restart"/>
            <w:shd w:val="clear" w:color="auto" w:fill="E7E7E2"/>
          </w:tcPr>
          <w:p>
            <w:pPr>
              <w:jc w:val="right"/>
              <w:spacing w:after="0"/>
              <w:rPr>
                <w:sz w:val="20"/>
                <w:szCs w:val="20"/>
                <w:color w:val="auto"/>
              </w:rPr>
            </w:pPr>
            <w:r>
              <w:rPr>
                <w:rFonts w:ascii="Arial" w:cs="Arial" w:eastAsia="Arial" w:hAnsi="Arial"/>
                <w:sz w:val="17"/>
                <w:szCs w:val="17"/>
                <w:color w:val="auto"/>
              </w:rPr>
              <w:t>1,733,333</w:t>
            </w:r>
          </w:p>
        </w:tc>
        <w:tc>
          <w:tcPr>
            <w:tcW w:w="40" w:type="dxa"/>
            <w:vAlign w:val="bottom"/>
          </w:tcPr>
          <w:p>
            <w:pPr>
              <w:spacing w:after="0"/>
              <w:rPr>
                <w:sz w:val="16"/>
                <w:szCs w:val="16"/>
                <w:color w:val="auto"/>
              </w:rPr>
            </w:pPr>
          </w:p>
        </w:tc>
        <w:tc>
          <w:tcPr>
            <w:tcW w:w="780" w:type="dxa"/>
            <w:vAlign w:val="bottom"/>
            <w:vMerge w:val="restart"/>
            <w:shd w:val="clear" w:color="auto" w:fill="E7E7E2"/>
          </w:tcPr>
          <w:p>
            <w:pPr>
              <w:ind w:left="220"/>
              <w:spacing w:after="0"/>
              <w:rPr>
                <w:sz w:val="20"/>
                <w:szCs w:val="20"/>
                <w:color w:val="auto"/>
              </w:rPr>
            </w:pPr>
            <w:r>
              <w:rPr>
                <w:rFonts w:ascii="Arial" w:cs="Arial" w:eastAsia="Arial" w:hAnsi="Arial"/>
                <w:sz w:val="17"/>
                <w:szCs w:val="17"/>
                <w:color w:val="auto"/>
                <w:w w:val="95"/>
              </w:rPr>
              <w:t>$ 37.50</w:t>
            </w:r>
          </w:p>
        </w:tc>
        <w:tc>
          <w:tcPr>
            <w:tcW w:w="20" w:type="dxa"/>
            <w:vAlign w:val="bottom"/>
          </w:tcPr>
          <w:p>
            <w:pPr>
              <w:spacing w:after="0"/>
              <w:rPr>
                <w:sz w:val="16"/>
                <w:szCs w:val="16"/>
                <w:color w:val="auto"/>
              </w:rPr>
            </w:pPr>
          </w:p>
        </w:tc>
        <w:tc>
          <w:tcPr>
            <w:tcW w:w="1200" w:type="dxa"/>
            <w:vAlign w:val="bottom"/>
            <w:shd w:val="clear" w:color="auto" w:fill="E7E7E2"/>
          </w:tcPr>
          <w:p>
            <w:pPr>
              <w:jc w:val="right"/>
              <w:spacing w:after="0" w:line="189" w:lineRule="exact"/>
              <w:rPr>
                <w:sz w:val="20"/>
                <w:szCs w:val="20"/>
                <w:color w:val="auto"/>
              </w:rPr>
            </w:pPr>
            <w:r>
              <w:rPr>
                <w:rFonts w:ascii="Arial" w:cs="Arial" w:eastAsia="Arial" w:hAnsi="Arial"/>
                <w:sz w:val="17"/>
                <w:szCs w:val="17"/>
                <w:color w:val="auto"/>
              </w:rPr>
              <w:t>$</w:t>
            </w:r>
          </w:p>
        </w:tc>
        <w:tc>
          <w:tcPr>
            <w:tcW w:w="20" w:type="dxa"/>
            <w:vAlign w:val="bottom"/>
          </w:tcPr>
          <w:p>
            <w:pPr>
              <w:spacing w:after="0"/>
              <w:rPr>
                <w:sz w:val="16"/>
                <w:szCs w:val="16"/>
                <w:color w:val="auto"/>
              </w:rPr>
            </w:pPr>
          </w:p>
        </w:tc>
        <w:tc>
          <w:tcPr>
            <w:tcW w:w="820" w:type="dxa"/>
            <w:vAlign w:val="bottom"/>
            <w:vMerge w:val="restart"/>
            <w:shd w:val="clear" w:color="auto" w:fill="E7E7E2"/>
          </w:tcPr>
          <w:p>
            <w:pPr>
              <w:jc w:val="center"/>
              <w:spacing w:after="0"/>
              <w:rPr>
                <w:sz w:val="20"/>
                <w:szCs w:val="20"/>
                <w:color w:val="auto"/>
              </w:rPr>
            </w:pPr>
            <w:r>
              <w:rPr>
                <w:rFonts w:ascii="Arial" w:cs="Arial" w:eastAsia="Arial" w:hAnsi="Arial"/>
                <w:sz w:val="17"/>
                <w:szCs w:val="17"/>
                <w:color w:val="auto"/>
                <w:w w:val="99"/>
              </w:rPr>
              <w:t>0.0001381</w:t>
            </w:r>
          </w:p>
        </w:tc>
        <w:tc>
          <w:tcPr>
            <w:tcW w:w="20" w:type="dxa"/>
            <w:vAlign w:val="bottom"/>
          </w:tcPr>
          <w:p>
            <w:pPr>
              <w:spacing w:after="0"/>
              <w:rPr>
                <w:sz w:val="16"/>
                <w:szCs w:val="16"/>
                <w:color w:val="auto"/>
              </w:rPr>
            </w:pPr>
          </w:p>
        </w:tc>
        <w:tc>
          <w:tcPr>
            <w:tcW w:w="1020" w:type="dxa"/>
            <w:vAlign w:val="bottom"/>
            <w:vMerge w:val="restart"/>
            <w:shd w:val="clear" w:color="auto" w:fill="E7E7E2"/>
          </w:tcPr>
          <w:p>
            <w:pPr>
              <w:jc w:val="right"/>
              <w:spacing w:after="0"/>
              <w:rPr>
                <w:sz w:val="20"/>
                <w:szCs w:val="20"/>
                <w:color w:val="auto"/>
              </w:rPr>
            </w:pPr>
            <w:r>
              <w:rPr>
                <w:rFonts w:ascii="Arial" w:cs="Arial" w:eastAsia="Arial" w:hAnsi="Arial"/>
                <w:sz w:val="17"/>
                <w:szCs w:val="17"/>
                <w:color w:val="auto"/>
              </w:rPr>
              <w:t>$ 8,976.50</w:t>
            </w:r>
          </w:p>
        </w:tc>
        <w:tc>
          <w:tcPr>
            <w:tcW w:w="20" w:type="dxa"/>
            <w:vAlign w:val="bottom"/>
          </w:tcPr>
          <w:p>
            <w:pPr>
              <w:spacing w:after="0"/>
              <w:rPr>
                <w:sz w:val="16"/>
                <w:szCs w:val="16"/>
                <w:color w:val="auto"/>
              </w:rPr>
            </w:pPr>
          </w:p>
        </w:tc>
        <w:tc>
          <w:tcPr>
            <w:tcW w:w="7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60" w:type="dxa"/>
            <w:vAlign w:val="bottom"/>
            <w:tcBorders>
              <w:right w:val="single" w:sz="8" w:color="auto"/>
            </w:tcBorders>
            <w:shd w:val="clear" w:color="auto" w:fill="E7E7E2"/>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0" w:type="dxa"/>
            <w:vAlign w:val="bottom"/>
            <w:tcBorders>
              <w:left w:val="single" w:sz="8" w:color="auto"/>
            </w:tcBorders>
          </w:tcPr>
          <w:p>
            <w:pPr>
              <w:spacing w:after="0"/>
              <w:rPr>
                <w:sz w:val="16"/>
                <w:szCs w:val="16"/>
                <w:color w:val="auto"/>
              </w:rPr>
            </w:pPr>
          </w:p>
        </w:tc>
        <w:tc>
          <w:tcPr>
            <w:tcW w:w="800" w:type="dxa"/>
            <w:vAlign w:val="bottom"/>
            <w:shd w:val="clear" w:color="auto" w:fill="E7E7E2"/>
          </w:tcPr>
          <w:p>
            <w:pPr>
              <w:spacing w:after="0" w:line="189" w:lineRule="exact"/>
              <w:rPr>
                <w:sz w:val="20"/>
                <w:szCs w:val="20"/>
                <w:color w:val="auto"/>
              </w:rPr>
            </w:pPr>
            <w:r>
              <w:rPr>
                <w:rFonts w:ascii="Arial" w:cs="Arial" w:eastAsia="Arial" w:hAnsi="Arial"/>
                <w:sz w:val="17"/>
                <w:szCs w:val="17"/>
                <w:color w:val="auto"/>
              </w:rPr>
              <w:t>be Paid</w:t>
            </w:r>
          </w:p>
        </w:tc>
        <w:tc>
          <w:tcPr>
            <w:tcW w:w="20" w:type="dxa"/>
            <w:vAlign w:val="bottom"/>
          </w:tcPr>
          <w:p>
            <w:pPr>
              <w:spacing w:after="0"/>
              <w:rPr>
                <w:sz w:val="16"/>
                <w:szCs w:val="16"/>
                <w:color w:val="auto"/>
              </w:rPr>
            </w:pPr>
          </w:p>
        </w:tc>
        <w:tc>
          <w:tcPr>
            <w:tcW w:w="120" w:type="dxa"/>
            <w:vAlign w:val="bottom"/>
            <w:vMerge w:val="continue"/>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vMerge w:val="continue"/>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E7E7E2"/>
          </w:tcPr>
          <w:p>
            <w:pPr>
              <w:ind w:left="20"/>
              <w:spacing w:after="0" w:line="189" w:lineRule="exact"/>
              <w:rPr>
                <w:sz w:val="20"/>
                <w:szCs w:val="20"/>
                <w:color w:val="auto"/>
              </w:rPr>
            </w:pPr>
            <w:r>
              <w:rPr>
                <w:rFonts w:ascii="Arial" w:cs="Arial" w:eastAsia="Arial" w:hAnsi="Arial"/>
                <w:sz w:val="17"/>
                <w:szCs w:val="17"/>
                <w:color w:val="auto"/>
                <w:w w:val="98"/>
              </w:rPr>
              <w:t>Common</w:t>
            </w:r>
          </w:p>
        </w:tc>
        <w:tc>
          <w:tcPr>
            <w:tcW w:w="20" w:type="dxa"/>
            <w:vAlign w:val="bottom"/>
          </w:tcPr>
          <w:p>
            <w:pPr>
              <w:spacing w:after="0"/>
              <w:rPr>
                <w:sz w:val="16"/>
                <w:szCs w:val="16"/>
                <w:color w:val="auto"/>
              </w:rPr>
            </w:pPr>
          </w:p>
        </w:tc>
        <w:tc>
          <w:tcPr>
            <w:tcW w:w="940" w:type="dxa"/>
            <w:vAlign w:val="bottom"/>
            <w:vMerge w:val="continue"/>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80" w:type="dxa"/>
            <w:vAlign w:val="bottom"/>
            <w:vMerge w:val="continue"/>
            <w:shd w:val="clear" w:color="auto" w:fill="E7E7E2"/>
          </w:tcPr>
          <w:p>
            <w:pPr>
              <w:spacing w:after="0"/>
              <w:rPr>
                <w:sz w:val="16"/>
                <w:szCs w:val="16"/>
                <w:color w:val="auto"/>
              </w:rPr>
            </w:pPr>
          </w:p>
        </w:tc>
        <w:tc>
          <w:tcPr>
            <w:tcW w:w="40" w:type="dxa"/>
            <w:vAlign w:val="bottom"/>
          </w:tcPr>
          <w:p>
            <w:pPr>
              <w:spacing w:after="0"/>
              <w:rPr>
                <w:sz w:val="16"/>
                <w:szCs w:val="16"/>
                <w:color w:val="auto"/>
              </w:rPr>
            </w:pPr>
          </w:p>
        </w:tc>
        <w:tc>
          <w:tcPr>
            <w:tcW w:w="780" w:type="dxa"/>
            <w:vAlign w:val="bottom"/>
            <w:vMerge w:val="continue"/>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200" w:type="dxa"/>
            <w:vAlign w:val="bottom"/>
            <w:shd w:val="clear" w:color="auto" w:fill="E7E7E2"/>
          </w:tcPr>
          <w:p>
            <w:pPr>
              <w:jc w:val="right"/>
              <w:spacing w:after="0" w:line="189" w:lineRule="exact"/>
              <w:rPr>
                <w:sz w:val="20"/>
                <w:szCs w:val="20"/>
                <w:color w:val="auto"/>
              </w:rPr>
            </w:pPr>
            <w:r>
              <w:rPr>
                <w:rFonts w:ascii="Arial" w:cs="Arial" w:eastAsia="Arial" w:hAnsi="Arial"/>
                <w:sz w:val="17"/>
                <w:szCs w:val="17"/>
                <w:color w:val="auto"/>
              </w:rPr>
              <w:t>64,999,987.50</w:t>
            </w:r>
          </w:p>
        </w:tc>
        <w:tc>
          <w:tcPr>
            <w:tcW w:w="20" w:type="dxa"/>
            <w:vAlign w:val="bottom"/>
          </w:tcPr>
          <w:p>
            <w:pPr>
              <w:spacing w:after="0"/>
              <w:rPr>
                <w:sz w:val="16"/>
                <w:szCs w:val="16"/>
                <w:color w:val="auto"/>
              </w:rPr>
            </w:pPr>
          </w:p>
        </w:tc>
        <w:tc>
          <w:tcPr>
            <w:tcW w:w="820" w:type="dxa"/>
            <w:vAlign w:val="bottom"/>
            <w:vMerge w:val="continue"/>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020" w:type="dxa"/>
            <w:vAlign w:val="bottom"/>
            <w:vMerge w:val="continue"/>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60" w:type="dxa"/>
            <w:vAlign w:val="bottom"/>
            <w:tcBorders>
              <w:right w:val="single" w:sz="8" w:color="auto"/>
            </w:tcBorders>
            <w:shd w:val="clear" w:color="auto" w:fill="E7E7E2"/>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0" w:type="dxa"/>
            <w:vAlign w:val="bottom"/>
            <w:tcBorders>
              <w:left w:val="single" w:sz="8" w:color="auto"/>
            </w:tcBorders>
          </w:tcPr>
          <w:p>
            <w:pPr>
              <w:spacing w:after="0"/>
              <w:rPr>
                <w:sz w:val="16"/>
                <w:szCs w:val="16"/>
                <w:color w:val="auto"/>
              </w:rPr>
            </w:pPr>
          </w:p>
        </w:tc>
        <w:tc>
          <w:tcPr>
            <w:tcW w:w="8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E7E7E2"/>
          </w:tcPr>
          <w:p>
            <w:pPr>
              <w:ind w:left="20"/>
              <w:spacing w:after="0" w:line="189" w:lineRule="exact"/>
              <w:rPr>
                <w:sz w:val="20"/>
                <w:szCs w:val="20"/>
                <w:color w:val="auto"/>
              </w:rPr>
            </w:pPr>
            <w:r>
              <w:rPr>
                <w:rFonts w:ascii="Arial" w:cs="Arial" w:eastAsia="Arial" w:hAnsi="Arial"/>
                <w:sz w:val="17"/>
                <w:szCs w:val="17"/>
                <w:color w:val="auto"/>
              </w:rPr>
              <w:t>Stock,</w:t>
            </w:r>
          </w:p>
        </w:tc>
        <w:tc>
          <w:tcPr>
            <w:tcW w:w="20" w:type="dxa"/>
            <w:vAlign w:val="bottom"/>
          </w:tcPr>
          <w:p>
            <w:pPr>
              <w:spacing w:after="0"/>
              <w:rPr>
                <w:sz w:val="16"/>
                <w:szCs w:val="16"/>
                <w:color w:val="auto"/>
              </w:rPr>
            </w:pPr>
          </w:p>
        </w:tc>
        <w:tc>
          <w:tcPr>
            <w:tcW w:w="9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80" w:type="dxa"/>
            <w:vAlign w:val="bottom"/>
            <w:shd w:val="clear" w:color="auto" w:fill="E7E7E2"/>
          </w:tcPr>
          <w:p>
            <w:pPr>
              <w:spacing w:after="0"/>
              <w:rPr>
                <w:sz w:val="16"/>
                <w:szCs w:val="16"/>
                <w:color w:val="auto"/>
              </w:rPr>
            </w:pPr>
          </w:p>
        </w:tc>
        <w:tc>
          <w:tcPr>
            <w:tcW w:w="40" w:type="dxa"/>
            <w:vAlign w:val="bottom"/>
          </w:tcPr>
          <w:p>
            <w:pPr>
              <w:spacing w:after="0"/>
              <w:rPr>
                <w:sz w:val="16"/>
                <w:szCs w:val="16"/>
                <w:color w:val="auto"/>
              </w:rPr>
            </w:pPr>
          </w:p>
        </w:tc>
        <w:tc>
          <w:tcPr>
            <w:tcW w:w="7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2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0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60" w:type="dxa"/>
            <w:vAlign w:val="bottom"/>
            <w:tcBorders>
              <w:right w:val="single" w:sz="8" w:color="auto"/>
            </w:tcBorders>
            <w:shd w:val="clear" w:color="auto" w:fill="E7E7E2"/>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0" w:type="dxa"/>
            <w:vAlign w:val="bottom"/>
            <w:tcBorders>
              <w:left w:val="single" w:sz="8" w:color="auto"/>
            </w:tcBorders>
          </w:tcPr>
          <w:p>
            <w:pPr>
              <w:spacing w:after="0"/>
              <w:rPr>
                <w:sz w:val="16"/>
                <w:szCs w:val="16"/>
                <w:color w:val="auto"/>
              </w:rPr>
            </w:pPr>
          </w:p>
        </w:tc>
        <w:tc>
          <w:tcPr>
            <w:tcW w:w="8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E7E7E2"/>
          </w:tcPr>
          <w:p>
            <w:pPr>
              <w:ind w:left="20"/>
              <w:spacing w:after="0" w:line="189" w:lineRule="exact"/>
              <w:rPr>
                <w:sz w:val="20"/>
                <w:szCs w:val="20"/>
                <w:color w:val="auto"/>
              </w:rPr>
            </w:pPr>
            <w:r>
              <w:rPr>
                <w:rFonts w:ascii="Arial" w:cs="Arial" w:eastAsia="Arial" w:hAnsi="Arial"/>
                <w:sz w:val="17"/>
                <w:szCs w:val="17"/>
                <w:color w:val="auto"/>
                <w:w w:val="97"/>
              </w:rPr>
              <w:t>par value</w:t>
            </w:r>
          </w:p>
        </w:tc>
        <w:tc>
          <w:tcPr>
            <w:tcW w:w="20" w:type="dxa"/>
            <w:vAlign w:val="bottom"/>
          </w:tcPr>
          <w:p>
            <w:pPr>
              <w:spacing w:after="0"/>
              <w:rPr>
                <w:sz w:val="16"/>
                <w:szCs w:val="16"/>
                <w:color w:val="auto"/>
              </w:rPr>
            </w:pPr>
          </w:p>
        </w:tc>
        <w:tc>
          <w:tcPr>
            <w:tcW w:w="9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80" w:type="dxa"/>
            <w:vAlign w:val="bottom"/>
            <w:shd w:val="clear" w:color="auto" w:fill="E7E7E2"/>
          </w:tcPr>
          <w:p>
            <w:pPr>
              <w:spacing w:after="0"/>
              <w:rPr>
                <w:sz w:val="16"/>
                <w:szCs w:val="16"/>
                <w:color w:val="auto"/>
              </w:rPr>
            </w:pPr>
          </w:p>
        </w:tc>
        <w:tc>
          <w:tcPr>
            <w:tcW w:w="40" w:type="dxa"/>
            <w:vAlign w:val="bottom"/>
          </w:tcPr>
          <w:p>
            <w:pPr>
              <w:spacing w:after="0"/>
              <w:rPr>
                <w:sz w:val="16"/>
                <w:szCs w:val="16"/>
                <w:color w:val="auto"/>
              </w:rPr>
            </w:pPr>
          </w:p>
        </w:tc>
        <w:tc>
          <w:tcPr>
            <w:tcW w:w="7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2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0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60" w:type="dxa"/>
            <w:vAlign w:val="bottom"/>
            <w:tcBorders>
              <w:right w:val="single" w:sz="8" w:color="auto"/>
            </w:tcBorders>
            <w:shd w:val="clear" w:color="auto" w:fill="E7E7E2"/>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0" w:type="dxa"/>
            <w:vAlign w:val="bottom"/>
            <w:tcBorders>
              <w:left w:val="single" w:sz="8" w:color="auto"/>
            </w:tcBorders>
          </w:tcPr>
          <w:p>
            <w:pPr>
              <w:spacing w:after="0"/>
              <w:rPr>
                <w:sz w:val="16"/>
                <w:szCs w:val="16"/>
                <w:color w:val="auto"/>
              </w:rPr>
            </w:pPr>
          </w:p>
        </w:tc>
        <w:tc>
          <w:tcPr>
            <w:tcW w:w="8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E7E7E2"/>
          </w:tcPr>
          <w:p>
            <w:pPr>
              <w:ind w:left="20"/>
              <w:spacing w:after="0" w:line="189" w:lineRule="exact"/>
              <w:rPr>
                <w:sz w:val="20"/>
                <w:szCs w:val="20"/>
                <w:color w:val="auto"/>
              </w:rPr>
            </w:pPr>
            <w:r>
              <w:rPr>
                <w:rFonts w:ascii="Arial" w:cs="Arial" w:eastAsia="Arial" w:hAnsi="Arial"/>
                <w:sz w:val="17"/>
                <w:szCs w:val="17"/>
                <w:color w:val="auto"/>
              </w:rPr>
              <w:t>$0.001</w:t>
            </w:r>
          </w:p>
        </w:tc>
        <w:tc>
          <w:tcPr>
            <w:tcW w:w="20" w:type="dxa"/>
            <w:vAlign w:val="bottom"/>
          </w:tcPr>
          <w:p>
            <w:pPr>
              <w:spacing w:after="0"/>
              <w:rPr>
                <w:sz w:val="16"/>
                <w:szCs w:val="16"/>
                <w:color w:val="auto"/>
              </w:rPr>
            </w:pPr>
          </w:p>
        </w:tc>
        <w:tc>
          <w:tcPr>
            <w:tcW w:w="9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80" w:type="dxa"/>
            <w:vAlign w:val="bottom"/>
            <w:shd w:val="clear" w:color="auto" w:fill="E7E7E2"/>
          </w:tcPr>
          <w:p>
            <w:pPr>
              <w:spacing w:after="0"/>
              <w:rPr>
                <w:sz w:val="16"/>
                <w:szCs w:val="16"/>
                <w:color w:val="auto"/>
              </w:rPr>
            </w:pPr>
          </w:p>
        </w:tc>
        <w:tc>
          <w:tcPr>
            <w:tcW w:w="40" w:type="dxa"/>
            <w:vAlign w:val="bottom"/>
          </w:tcPr>
          <w:p>
            <w:pPr>
              <w:spacing w:after="0"/>
              <w:rPr>
                <w:sz w:val="16"/>
                <w:szCs w:val="16"/>
                <w:color w:val="auto"/>
              </w:rPr>
            </w:pPr>
          </w:p>
        </w:tc>
        <w:tc>
          <w:tcPr>
            <w:tcW w:w="7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2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0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60" w:type="dxa"/>
            <w:vAlign w:val="bottom"/>
            <w:tcBorders>
              <w:right w:val="single" w:sz="8" w:color="auto"/>
            </w:tcBorders>
            <w:shd w:val="clear" w:color="auto" w:fill="E7E7E2"/>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0" w:type="dxa"/>
            <w:vAlign w:val="bottom"/>
            <w:tcBorders>
              <w:left w:val="single" w:sz="8" w:color="auto"/>
            </w:tcBorders>
          </w:tcPr>
          <w:p>
            <w:pPr>
              <w:spacing w:after="0"/>
              <w:rPr>
                <w:sz w:val="16"/>
                <w:szCs w:val="16"/>
                <w:color w:val="auto"/>
              </w:rPr>
            </w:pPr>
          </w:p>
        </w:tc>
        <w:tc>
          <w:tcPr>
            <w:tcW w:w="8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E7E7E2"/>
          </w:tcPr>
          <w:p>
            <w:pPr>
              <w:ind w:left="20"/>
              <w:spacing w:after="0" w:line="189" w:lineRule="exact"/>
              <w:rPr>
                <w:sz w:val="20"/>
                <w:szCs w:val="20"/>
                <w:color w:val="auto"/>
              </w:rPr>
            </w:pPr>
            <w:r>
              <w:rPr>
                <w:rFonts w:ascii="Arial" w:cs="Arial" w:eastAsia="Arial" w:hAnsi="Arial"/>
                <w:sz w:val="17"/>
                <w:szCs w:val="17"/>
                <w:color w:val="auto"/>
              </w:rPr>
              <w:t>per</w:t>
            </w:r>
          </w:p>
        </w:tc>
        <w:tc>
          <w:tcPr>
            <w:tcW w:w="20" w:type="dxa"/>
            <w:vAlign w:val="bottom"/>
          </w:tcPr>
          <w:p>
            <w:pPr>
              <w:spacing w:after="0"/>
              <w:rPr>
                <w:sz w:val="16"/>
                <w:szCs w:val="16"/>
                <w:color w:val="auto"/>
              </w:rPr>
            </w:pPr>
          </w:p>
        </w:tc>
        <w:tc>
          <w:tcPr>
            <w:tcW w:w="9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80" w:type="dxa"/>
            <w:vAlign w:val="bottom"/>
            <w:shd w:val="clear" w:color="auto" w:fill="E7E7E2"/>
          </w:tcPr>
          <w:p>
            <w:pPr>
              <w:spacing w:after="0"/>
              <w:rPr>
                <w:sz w:val="16"/>
                <w:szCs w:val="16"/>
                <w:color w:val="auto"/>
              </w:rPr>
            </w:pPr>
          </w:p>
        </w:tc>
        <w:tc>
          <w:tcPr>
            <w:tcW w:w="40" w:type="dxa"/>
            <w:vAlign w:val="bottom"/>
          </w:tcPr>
          <w:p>
            <w:pPr>
              <w:spacing w:after="0"/>
              <w:rPr>
                <w:sz w:val="16"/>
                <w:szCs w:val="16"/>
                <w:color w:val="auto"/>
              </w:rPr>
            </w:pPr>
          </w:p>
        </w:tc>
        <w:tc>
          <w:tcPr>
            <w:tcW w:w="7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2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0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60" w:type="dxa"/>
            <w:vAlign w:val="bottom"/>
            <w:tcBorders>
              <w:right w:val="single" w:sz="8" w:color="auto"/>
            </w:tcBorders>
            <w:shd w:val="clear" w:color="auto" w:fill="E7E7E2"/>
          </w:tcPr>
          <w:p>
            <w:pPr>
              <w:spacing w:after="0"/>
              <w:rPr>
                <w:sz w:val="16"/>
                <w:szCs w:val="16"/>
                <w:color w:val="auto"/>
              </w:rPr>
            </w:pPr>
          </w:p>
        </w:tc>
        <w:tc>
          <w:tcPr>
            <w:tcW w:w="0" w:type="dxa"/>
            <w:vAlign w:val="bottom"/>
          </w:tcPr>
          <w:p>
            <w:pPr>
              <w:spacing w:after="0"/>
              <w:rPr>
                <w:sz w:val="1"/>
                <w:szCs w:val="1"/>
                <w:color w:val="auto"/>
              </w:rPr>
            </w:pPr>
          </w:p>
        </w:tc>
      </w:tr>
      <w:tr>
        <w:trPr>
          <w:trHeight w:val="221"/>
        </w:trPr>
        <w:tc>
          <w:tcPr>
            <w:tcW w:w="40" w:type="dxa"/>
            <w:vAlign w:val="bottom"/>
            <w:tcBorders>
              <w:left w:val="single" w:sz="8" w:color="auto"/>
            </w:tcBorders>
          </w:tcPr>
          <w:p>
            <w:pPr>
              <w:spacing w:after="0"/>
              <w:rPr>
                <w:sz w:val="19"/>
                <w:szCs w:val="19"/>
                <w:color w:val="auto"/>
              </w:rPr>
            </w:pPr>
          </w:p>
        </w:tc>
        <w:tc>
          <w:tcPr>
            <w:tcW w:w="8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68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20" w:type="dxa"/>
            <w:vAlign w:val="bottom"/>
            <w:shd w:val="clear" w:color="auto" w:fill="E7E7E2"/>
          </w:tcPr>
          <w:p>
            <w:pPr>
              <w:ind w:left="20"/>
              <w:spacing w:after="0"/>
              <w:rPr>
                <w:sz w:val="20"/>
                <w:szCs w:val="20"/>
                <w:color w:val="auto"/>
              </w:rPr>
            </w:pPr>
            <w:r>
              <w:rPr>
                <w:rFonts w:ascii="Arial" w:cs="Arial" w:eastAsia="Arial" w:hAnsi="Arial"/>
                <w:sz w:val="17"/>
                <w:szCs w:val="17"/>
                <w:color w:val="auto"/>
              </w:rPr>
              <w:t>share</w:t>
            </w:r>
          </w:p>
        </w:tc>
        <w:tc>
          <w:tcPr>
            <w:tcW w:w="20" w:type="dxa"/>
            <w:vAlign w:val="bottom"/>
          </w:tcPr>
          <w:p>
            <w:pPr>
              <w:spacing w:after="0"/>
              <w:rPr>
                <w:sz w:val="19"/>
                <w:szCs w:val="19"/>
                <w:color w:val="auto"/>
              </w:rPr>
            </w:pPr>
          </w:p>
        </w:tc>
        <w:tc>
          <w:tcPr>
            <w:tcW w:w="94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880" w:type="dxa"/>
            <w:vAlign w:val="bottom"/>
            <w:shd w:val="clear" w:color="auto" w:fill="E7E7E2"/>
          </w:tcPr>
          <w:p>
            <w:pPr>
              <w:spacing w:after="0"/>
              <w:rPr>
                <w:sz w:val="19"/>
                <w:szCs w:val="19"/>
                <w:color w:val="auto"/>
              </w:rPr>
            </w:pPr>
          </w:p>
        </w:tc>
        <w:tc>
          <w:tcPr>
            <w:tcW w:w="40" w:type="dxa"/>
            <w:vAlign w:val="bottom"/>
          </w:tcPr>
          <w:p>
            <w:pPr>
              <w:spacing w:after="0"/>
              <w:rPr>
                <w:sz w:val="19"/>
                <w:szCs w:val="19"/>
                <w:color w:val="auto"/>
              </w:rPr>
            </w:pPr>
          </w:p>
        </w:tc>
        <w:tc>
          <w:tcPr>
            <w:tcW w:w="78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12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8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10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68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4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960" w:type="dxa"/>
            <w:vAlign w:val="bottom"/>
            <w:tcBorders>
              <w:right w:val="single" w:sz="8" w:color="auto"/>
            </w:tcBorders>
            <w:shd w:val="clear" w:color="auto" w:fill="E7E7E2"/>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40" w:type="dxa"/>
            <w:vAlign w:val="bottom"/>
            <w:tcBorders>
              <w:left w:val="single" w:sz="8" w:color="auto"/>
            </w:tcBorders>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60" w:type="dxa"/>
            <w:vAlign w:val="bottom"/>
            <w:tcBorders>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9"/>
        </w:trPr>
        <w:tc>
          <w:tcPr>
            <w:tcW w:w="40" w:type="dxa"/>
            <w:vAlign w:val="bottom"/>
            <w:tcBorders>
              <w:left w:val="single" w:sz="8" w:color="auto"/>
            </w:tcBorders>
          </w:tcPr>
          <w:p>
            <w:pPr>
              <w:spacing w:after="0"/>
              <w:rPr>
                <w:sz w:val="15"/>
                <w:szCs w:val="15"/>
                <w:color w:val="auto"/>
              </w:rPr>
            </w:pPr>
          </w:p>
        </w:tc>
        <w:tc>
          <w:tcPr>
            <w:tcW w:w="800" w:type="dxa"/>
            <w:vAlign w:val="bottom"/>
            <w:shd w:val="clear" w:color="auto" w:fill="E7E7E2"/>
          </w:tcPr>
          <w:p>
            <w:pPr>
              <w:spacing w:after="0" w:line="179" w:lineRule="exact"/>
              <w:rPr>
                <w:sz w:val="20"/>
                <w:szCs w:val="20"/>
                <w:color w:val="auto"/>
              </w:rPr>
            </w:pPr>
            <w:r>
              <w:rPr>
                <w:rFonts w:ascii="Arial" w:cs="Arial" w:eastAsia="Arial" w:hAnsi="Arial"/>
                <w:sz w:val="17"/>
                <w:szCs w:val="17"/>
                <w:color w:val="auto"/>
              </w:rPr>
              <w:t>Fees</w:t>
            </w:r>
          </w:p>
        </w:tc>
        <w:tc>
          <w:tcPr>
            <w:tcW w:w="20" w:type="dxa"/>
            <w:vAlign w:val="bottom"/>
          </w:tcPr>
          <w:p>
            <w:pPr>
              <w:spacing w:after="0"/>
              <w:rPr>
                <w:sz w:val="15"/>
                <w:szCs w:val="15"/>
                <w:color w:val="auto"/>
              </w:rPr>
            </w:pPr>
          </w:p>
        </w:tc>
        <w:tc>
          <w:tcPr>
            <w:tcW w:w="1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6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94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80" w:type="dxa"/>
            <w:vAlign w:val="bottom"/>
            <w:shd w:val="clear" w:color="auto" w:fill="E7E7E2"/>
          </w:tcPr>
          <w:p>
            <w:pPr>
              <w:spacing w:after="0"/>
              <w:rPr>
                <w:sz w:val="15"/>
                <w:szCs w:val="15"/>
                <w:color w:val="auto"/>
              </w:rPr>
            </w:pPr>
          </w:p>
        </w:tc>
        <w:tc>
          <w:tcPr>
            <w:tcW w:w="40" w:type="dxa"/>
            <w:vAlign w:val="bottom"/>
          </w:tcPr>
          <w:p>
            <w:pPr>
              <w:spacing w:after="0"/>
              <w:rPr>
                <w:sz w:val="15"/>
                <w:szCs w:val="15"/>
                <w:color w:val="auto"/>
              </w:rPr>
            </w:pPr>
          </w:p>
        </w:tc>
        <w:tc>
          <w:tcPr>
            <w:tcW w:w="7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12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10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6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4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960" w:type="dxa"/>
            <w:vAlign w:val="bottom"/>
            <w:tcBorders>
              <w:right w:val="single" w:sz="8" w:color="auto"/>
            </w:tcBorders>
            <w:shd w:val="clear" w:color="auto" w:fill="E7E7E2"/>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40" w:type="dxa"/>
            <w:vAlign w:val="bottom"/>
            <w:tcBorders>
              <w:left w:val="single" w:sz="8" w:color="auto"/>
            </w:tcBorders>
          </w:tcPr>
          <w:p>
            <w:pPr>
              <w:spacing w:after="0"/>
              <w:rPr>
                <w:sz w:val="16"/>
                <w:szCs w:val="16"/>
                <w:color w:val="auto"/>
              </w:rPr>
            </w:pPr>
          </w:p>
        </w:tc>
        <w:tc>
          <w:tcPr>
            <w:tcW w:w="800" w:type="dxa"/>
            <w:vAlign w:val="bottom"/>
            <w:shd w:val="clear" w:color="auto" w:fill="E7E7E2"/>
          </w:tcPr>
          <w:p>
            <w:pPr>
              <w:spacing w:after="0" w:line="189" w:lineRule="exact"/>
              <w:rPr>
                <w:sz w:val="20"/>
                <w:szCs w:val="20"/>
                <w:color w:val="auto"/>
              </w:rPr>
            </w:pPr>
            <w:r>
              <w:rPr>
                <w:rFonts w:ascii="Arial" w:cs="Arial" w:eastAsia="Arial" w:hAnsi="Arial"/>
                <w:sz w:val="17"/>
                <w:szCs w:val="17"/>
                <w:color w:val="auto"/>
                <w:w w:val="99"/>
              </w:rPr>
              <w:t>Previously</w:t>
            </w:r>
          </w:p>
        </w:tc>
        <w:tc>
          <w:tcPr>
            <w:tcW w:w="20" w:type="dxa"/>
            <w:vAlign w:val="bottom"/>
          </w:tcPr>
          <w:p>
            <w:pPr>
              <w:spacing w:after="0"/>
              <w:rPr>
                <w:sz w:val="16"/>
                <w:szCs w:val="16"/>
                <w:color w:val="auto"/>
              </w:rPr>
            </w:pPr>
          </w:p>
        </w:tc>
        <w:tc>
          <w:tcPr>
            <w:tcW w:w="1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80" w:type="dxa"/>
            <w:vAlign w:val="bottom"/>
            <w:shd w:val="clear" w:color="auto" w:fill="E7E7E2"/>
          </w:tcPr>
          <w:p>
            <w:pPr>
              <w:spacing w:after="0"/>
              <w:rPr>
                <w:sz w:val="16"/>
                <w:szCs w:val="16"/>
                <w:color w:val="auto"/>
              </w:rPr>
            </w:pPr>
          </w:p>
        </w:tc>
        <w:tc>
          <w:tcPr>
            <w:tcW w:w="40" w:type="dxa"/>
            <w:vAlign w:val="bottom"/>
          </w:tcPr>
          <w:p>
            <w:pPr>
              <w:spacing w:after="0"/>
              <w:rPr>
                <w:sz w:val="16"/>
                <w:szCs w:val="16"/>
                <w:color w:val="auto"/>
              </w:rPr>
            </w:pPr>
          </w:p>
        </w:tc>
        <w:tc>
          <w:tcPr>
            <w:tcW w:w="7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2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0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60" w:type="dxa"/>
            <w:vAlign w:val="bottom"/>
            <w:tcBorders>
              <w:right w:val="single" w:sz="8" w:color="auto"/>
            </w:tcBorders>
            <w:shd w:val="clear" w:color="auto" w:fill="E7E7E2"/>
          </w:tcPr>
          <w:p>
            <w:pPr>
              <w:spacing w:after="0"/>
              <w:rPr>
                <w:sz w:val="16"/>
                <w:szCs w:val="16"/>
                <w:color w:val="auto"/>
              </w:rPr>
            </w:pPr>
          </w:p>
        </w:tc>
        <w:tc>
          <w:tcPr>
            <w:tcW w:w="0" w:type="dxa"/>
            <w:vAlign w:val="bottom"/>
          </w:tcPr>
          <w:p>
            <w:pPr>
              <w:spacing w:after="0"/>
              <w:rPr>
                <w:sz w:val="1"/>
                <w:szCs w:val="1"/>
                <w:color w:val="auto"/>
              </w:rPr>
            </w:pPr>
          </w:p>
        </w:tc>
      </w:tr>
      <w:tr>
        <w:trPr>
          <w:trHeight w:val="221"/>
        </w:trPr>
        <w:tc>
          <w:tcPr>
            <w:tcW w:w="40" w:type="dxa"/>
            <w:vAlign w:val="bottom"/>
            <w:tcBorders>
              <w:left w:val="single" w:sz="8" w:color="auto"/>
            </w:tcBorders>
          </w:tcPr>
          <w:p>
            <w:pPr>
              <w:spacing w:after="0"/>
              <w:rPr>
                <w:sz w:val="19"/>
                <w:szCs w:val="19"/>
                <w:color w:val="auto"/>
              </w:rPr>
            </w:pPr>
          </w:p>
        </w:tc>
        <w:tc>
          <w:tcPr>
            <w:tcW w:w="800" w:type="dxa"/>
            <w:vAlign w:val="bottom"/>
            <w:shd w:val="clear" w:color="auto" w:fill="E7E7E2"/>
          </w:tcPr>
          <w:p>
            <w:pPr>
              <w:spacing w:after="0"/>
              <w:rPr>
                <w:sz w:val="20"/>
                <w:szCs w:val="20"/>
                <w:color w:val="auto"/>
              </w:rPr>
            </w:pPr>
            <w:r>
              <w:rPr>
                <w:rFonts w:ascii="Arial" w:cs="Arial" w:eastAsia="Arial" w:hAnsi="Arial"/>
                <w:sz w:val="17"/>
                <w:szCs w:val="17"/>
                <w:color w:val="auto"/>
              </w:rPr>
              <w:t>Paid</w:t>
            </w:r>
          </w:p>
        </w:tc>
        <w:tc>
          <w:tcPr>
            <w:tcW w:w="20" w:type="dxa"/>
            <w:vAlign w:val="bottom"/>
          </w:tcPr>
          <w:p>
            <w:pPr>
              <w:spacing w:after="0"/>
              <w:rPr>
                <w:sz w:val="19"/>
                <w:szCs w:val="19"/>
                <w:color w:val="auto"/>
              </w:rPr>
            </w:pPr>
          </w:p>
        </w:tc>
        <w:tc>
          <w:tcPr>
            <w:tcW w:w="1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68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94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880" w:type="dxa"/>
            <w:vAlign w:val="bottom"/>
            <w:shd w:val="clear" w:color="auto" w:fill="E7E7E2"/>
          </w:tcPr>
          <w:p>
            <w:pPr>
              <w:spacing w:after="0"/>
              <w:rPr>
                <w:sz w:val="19"/>
                <w:szCs w:val="19"/>
                <w:color w:val="auto"/>
              </w:rPr>
            </w:pPr>
          </w:p>
        </w:tc>
        <w:tc>
          <w:tcPr>
            <w:tcW w:w="40" w:type="dxa"/>
            <w:vAlign w:val="bottom"/>
          </w:tcPr>
          <w:p>
            <w:pPr>
              <w:spacing w:after="0"/>
              <w:rPr>
                <w:sz w:val="19"/>
                <w:szCs w:val="19"/>
                <w:color w:val="auto"/>
              </w:rPr>
            </w:pPr>
          </w:p>
        </w:tc>
        <w:tc>
          <w:tcPr>
            <w:tcW w:w="78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12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8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10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68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4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960" w:type="dxa"/>
            <w:vAlign w:val="bottom"/>
            <w:tcBorders>
              <w:right w:val="single" w:sz="8" w:color="auto"/>
            </w:tcBorders>
            <w:shd w:val="clear" w:color="auto" w:fill="E7E7E2"/>
          </w:tcPr>
          <w:p>
            <w:pPr>
              <w:spacing w:after="0"/>
              <w:rPr>
                <w:sz w:val="19"/>
                <w:szCs w:val="19"/>
                <w:color w:val="auto"/>
              </w:rPr>
            </w:pPr>
          </w:p>
        </w:tc>
        <w:tc>
          <w:tcPr>
            <w:tcW w:w="0" w:type="dxa"/>
            <w:vAlign w:val="bottom"/>
          </w:tcPr>
          <w:p>
            <w:pPr>
              <w:spacing w:after="0"/>
              <w:rPr>
                <w:sz w:val="1"/>
                <w:szCs w:val="1"/>
                <w:color w:val="auto"/>
              </w:rPr>
            </w:pPr>
          </w:p>
        </w:tc>
      </w:tr>
      <w:tr>
        <w:trPr>
          <w:trHeight w:val="246"/>
        </w:trPr>
        <w:tc>
          <w:tcPr>
            <w:tcW w:w="40" w:type="dxa"/>
            <w:vAlign w:val="bottom"/>
            <w:tcBorders>
              <w:left w:val="single" w:sz="8" w:color="auto"/>
            </w:tcBorders>
          </w:tcPr>
          <w:p>
            <w:pPr>
              <w:spacing w:after="0"/>
              <w:rPr>
                <w:sz w:val="21"/>
                <w:szCs w:val="21"/>
                <w:color w:val="auto"/>
              </w:rPr>
            </w:pPr>
          </w:p>
        </w:tc>
        <w:tc>
          <w:tcPr>
            <w:tcW w:w="8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840" w:type="dxa"/>
            <w:vAlign w:val="bottom"/>
            <w:gridSpan w:val="5"/>
          </w:tcPr>
          <w:p>
            <w:pPr>
              <w:ind w:left="360"/>
              <w:spacing w:after="0"/>
              <w:rPr>
                <w:sz w:val="20"/>
                <w:szCs w:val="20"/>
                <w:color w:val="auto"/>
              </w:rPr>
            </w:pPr>
            <w:r>
              <w:rPr>
                <w:rFonts w:ascii="Arial" w:cs="Arial" w:eastAsia="Arial" w:hAnsi="Arial"/>
                <w:sz w:val="17"/>
                <w:szCs w:val="17"/>
                <w:b w:val="1"/>
                <w:bCs w:val="1"/>
                <w:color w:val="auto"/>
              </w:rPr>
              <w:t>Carry Forward Securities</w:t>
            </w:r>
          </w:p>
        </w:tc>
        <w:tc>
          <w:tcPr>
            <w:tcW w:w="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6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84"/>
        </w:trPr>
        <w:tc>
          <w:tcPr>
            <w:tcW w:w="40" w:type="dxa"/>
            <w:vAlign w:val="bottom"/>
            <w:tcBorders>
              <w:left w:val="single" w:sz="8" w:color="auto"/>
            </w:tcBorders>
          </w:tcPr>
          <w:p>
            <w:pPr>
              <w:spacing w:after="0"/>
              <w:rPr>
                <w:sz w:val="16"/>
                <w:szCs w:val="16"/>
                <w:color w:val="auto"/>
              </w:rPr>
            </w:pPr>
          </w:p>
        </w:tc>
        <w:tc>
          <w:tcPr>
            <w:tcW w:w="800" w:type="dxa"/>
            <w:vAlign w:val="bottom"/>
            <w:shd w:val="clear" w:color="auto" w:fill="E7E7E2"/>
          </w:tcPr>
          <w:p>
            <w:pPr>
              <w:spacing w:after="0" w:line="185" w:lineRule="exact"/>
              <w:rPr>
                <w:sz w:val="20"/>
                <w:szCs w:val="20"/>
                <w:color w:val="auto"/>
              </w:rPr>
            </w:pPr>
            <w:r>
              <w:rPr>
                <w:rFonts w:ascii="Arial" w:cs="Arial" w:eastAsia="Arial" w:hAnsi="Arial"/>
                <w:sz w:val="17"/>
                <w:szCs w:val="17"/>
                <w:color w:val="auto"/>
              </w:rPr>
              <w:t>Carry</w:t>
            </w:r>
          </w:p>
        </w:tc>
        <w:tc>
          <w:tcPr>
            <w:tcW w:w="20" w:type="dxa"/>
            <w:vAlign w:val="bottom"/>
          </w:tcPr>
          <w:p>
            <w:pPr>
              <w:spacing w:after="0"/>
              <w:rPr>
                <w:sz w:val="16"/>
                <w:szCs w:val="16"/>
                <w:color w:val="auto"/>
              </w:rPr>
            </w:pPr>
          </w:p>
        </w:tc>
        <w:tc>
          <w:tcPr>
            <w:tcW w:w="1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80" w:type="dxa"/>
            <w:vAlign w:val="bottom"/>
            <w:shd w:val="clear" w:color="auto" w:fill="E7E7E2"/>
          </w:tcPr>
          <w:p>
            <w:pPr>
              <w:spacing w:after="0"/>
              <w:rPr>
                <w:sz w:val="16"/>
                <w:szCs w:val="16"/>
                <w:color w:val="auto"/>
              </w:rPr>
            </w:pPr>
          </w:p>
        </w:tc>
        <w:tc>
          <w:tcPr>
            <w:tcW w:w="40" w:type="dxa"/>
            <w:vAlign w:val="bottom"/>
          </w:tcPr>
          <w:p>
            <w:pPr>
              <w:spacing w:after="0"/>
              <w:rPr>
                <w:sz w:val="16"/>
                <w:szCs w:val="16"/>
                <w:color w:val="auto"/>
              </w:rPr>
            </w:pPr>
          </w:p>
        </w:tc>
        <w:tc>
          <w:tcPr>
            <w:tcW w:w="7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2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0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60" w:type="dxa"/>
            <w:vAlign w:val="bottom"/>
            <w:tcBorders>
              <w:right w:val="single" w:sz="8" w:color="auto"/>
            </w:tcBorders>
            <w:shd w:val="clear" w:color="auto" w:fill="E7E7E2"/>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0" w:type="dxa"/>
            <w:vAlign w:val="bottom"/>
            <w:tcBorders>
              <w:left w:val="single" w:sz="8" w:color="auto"/>
            </w:tcBorders>
          </w:tcPr>
          <w:p>
            <w:pPr>
              <w:spacing w:after="0"/>
              <w:rPr>
                <w:sz w:val="16"/>
                <w:szCs w:val="16"/>
                <w:color w:val="auto"/>
              </w:rPr>
            </w:pPr>
          </w:p>
        </w:tc>
        <w:tc>
          <w:tcPr>
            <w:tcW w:w="800" w:type="dxa"/>
            <w:vAlign w:val="bottom"/>
            <w:shd w:val="clear" w:color="auto" w:fill="E7E7E2"/>
          </w:tcPr>
          <w:p>
            <w:pPr>
              <w:spacing w:after="0" w:line="189" w:lineRule="exact"/>
              <w:rPr>
                <w:sz w:val="20"/>
                <w:szCs w:val="20"/>
                <w:color w:val="auto"/>
              </w:rPr>
            </w:pPr>
            <w:r>
              <w:rPr>
                <w:rFonts w:ascii="Arial" w:cs="Arial" w:eastAsia="Arial" w:hAnsi="Arial"/>
                <w:sz w:val="17"/>
                <w:szCs w:val="17"/>
                <w:color w:val="auto"/>
              </w:rPr>
              <w:t>Forward</w:t>
            </w:r>
          </w:p>
        </w:tc>
        <w:tc>
          <w:tcPr>
            <w:tcW w:w="20" w:type="dxa"/>
            <w:vAlign w:val="bottom"/>
          </w:tcPr>
          <w:p>
            <w:pPr>
              <w:spacing w:after="0"/>
              <w:rPr>
                <w:sz w:val="16"/>
                <w:szCs w:val="16"/>
                <w:color w:val="auto"/>
              </w:rPr>
            </w:pPr>
          </w:p>
        </w:tc>
        <w:tc>
          <w:tcPr>
            <w:tcW w:w="1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80" w:type="dxa"/>
            <w:vAlign w:val="bottom"/>
            <w:shd w:val="clear" w:color="auto" w:fill="E7E7E2"/>
          </w:tcPr>
          <w:p>
            <w:pPr>
              <w:spacing w:after="0"/>
              <w:rPr>
                <w:sz w:val="16"/>
                <w:szCs w:val="16"/>
                <w:color w:val="auto"/>
              </w:rPr>
            </w:pPr>
          </w:p>
        </w:tc>
        <w:tc>
          <w:tcPr>
            <w:tcW w:w="40" w:type="dxa"/>
            <w:vAlign w:val="bottom"/>
          </w:tcPr>
          <w:p>
            <w:pPr>
              <w:spacing w:after="0"/>
              <w:rPr>
                <w:sz w:val="16"/>
                <w:szCs w:val="16"/>
                <w:color w:val="auto"/>
              </w:rPr>
            </w:pPr>
          </w:p>
        </w:tc>
        <w:tc>
          <w:tcPr>
            <w:tcW w:w="7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2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0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60" w:type="dxa"/>
            <w:vAlign w:val="bottom"/>
            <w:tcBorders>
              <w:right w:val="single" w:sz="8" w:color="auto"/>
            </w:tcBorders>
            <w:shd w:val="clear" w:color="auto" w:fill="E7E7E2"/>
          </w:tcPr>
          <w:p>
            <w:pPr>
              <w:spacing w:after="0"/>
              <w:rPr>
                <w:sz w:val="16"/>
                <w:szCs w:val="16"/>
                <w:color w:val="auto"/>
              </w:rPr>
            </w:pPr>
          </w:p>
        </w:tc>
        <w:tc>
          <w:tcPr>
            <w:tcW w:w="0" w:type="dxa"/>
            <w:vAlign w:val="bottom"/>
          </w:tcPr>
          <w:p>
            <w:pPr>
              <w:spacing w:after="0"/>
              <w:rPr>
                <w:sz w:val="1"/>
                <w:szCs w:val="1"/>
                <w:color w:val="auto"/>
              </w:rPr>
            </w:pPr>
          </w:p>
        </w:tc>
      </w:tr>
      <w:tr>
        <w:trPr>
          <w:trHeight w:val="221"/>
        </w:trPr>
        <w:tc>
          <w:tcPr>
            <w:tcW w:w="40" w:type="dxa"/>
            <w:vAlign w:val="bottom"/>
            <w:tcBorders>
              <w:left w:val="single" w:sz="8" w:color="auto"/>
            </w:tcBorders>
          </w:tcPr>
          <w:p>
            <w:pPr>
              <w:spacing w:after="0"/>
              <w:rPr>
                <w:sz w:val="19"/>
                <w:szCs w:val="19"/>
                <w:color w:val="auto"/>
              </w:rPr>
            </w:pPr>
          </w:p>
        </w:tc>
        <w:tc>
          <w:tcPr>
            <w:tcW w:w="800" w:type="dxa"/>
            <w:vAlign w:val="bottom"/>
            <w:shd w:val="clear" w:color="auto" w:fill="E7E7E2"/>
          </w:tcPr>
          <w:p>
            <w:pPr>
              <w:spacing w:after="0"/>
              <w:rPr>
                <w:sz w:val="20"/>
                <w:szCs w:val="20"/>
                <w:color w:val="auto"/>
              </w:rPr>
            </w:pPr>
            <w:r>
              <w:rPr>
                <w:rFonts w:ascii="Arial" w:cs="Arial" w:eastAsia="Arial" w:hAnsi="Arial"/>
                <w:sz w:val="17"/>
                <w:szCs w:val="17"/>
                <w:color w:val="auto"/>
              </w:rPr>
              <w:t>Securities</w:t>
            </w:r>
          </w:p>
        </w:tc>
        <w:tc>
          <w:tcPr>
            <w:tcW w:w="20" w:type="dxa"/>
            <w:vAlign w:val="bottom"/>
          </w:tcPr>
          <w:p>
            <w:pPr>
              <w:spacing w:after="0"/>
              <w:rPr>
                <w:sz w:val="19"/>
                <w:szCs w:val="19"/>
                <w:color w:val="auto"/>
              </w:rPr>
            </w:pPr>
          </w:p>
        </w:tc>
        <w:tc>
          <w:tcPr>
            <w:tcW w:w="1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68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94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880" w:type="dxa"/>
            <w:vAlign w:val="bottom"/>
            <w:shd w:val="clear" w:color="auto" w:fill="E7E7E2"/>
          </w:tcPr>
          <w:p>
            <w:pPr>
              <w:spacing w:after="0"/>
              <w:rPr>
                <w:sz w:val="19"/>
                <w:szCs w:val="19"/>
                <w:color w:val="auto"/>
              </w:rPr>
            </w:pPr>
          </w:p>
        </w:tc>
        <w:tc>
          <w:tcPr>
            <w:tcW w:w="40" w:type="dxa"/>
            <w:vAlign w:val="bottom"/>
          </w:tcPr>
          <w:p>
            <w:pPr>
              <w:spacing w:after="0"/>
              <w:rPr>
                <w:sz w:val="19"/>
                <w:szCs w:val="19"/>
                <w:color w:val="auto"/>
              </w:rPr>
            </w:pPr>
          </w:p>
        </w:tc>
        <w:tc>
          <w:tcPr>
            <w:tcW w:w="78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12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8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10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68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4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960" w:type="dxa"/>
            <w:vAlign w:val="bottom"/>
            <w:tcBorders>
              <w:right w:val="single" w:sz="8" w:color="auto"/>
            </w:tcBorders>
            <w:shd w:val="clear" w:color="auto" w:fill="E7E7E2"/>
          </w:tcPr>
          <w:p>
            <w:pPr>
              <w:spacing w:after="0"/>
              <w:rPr>
                <w:sz w:val="19"/>
                <w:szCs w:val="19"/>
                <w:color w:val="auto"/>
              </w:rPr>
            </w:pPr>
          </w:p>
        </w:tc>
        <w:tc>
          <w:tcPr>
            <w:tcW w:w="0" w:type="dxa"/>
            <w:vAlign w:val="bottom"/>
          </w:tcPr>
          <w:p>
            <w:pPr>
              <w:spacing w:after="0"/>
              <w:rPr>
                <w:sz w:val="1"/>
                <w:szCs w:val="1"/>
                <w:color w:val="auto"/>
              </w:rPr>
            </w:pPr>
          </w:p>
        </w:tc>
      </w:tr>
      <w:tr>
        <w:trPr>
          <w:trHeight w:val="200"/>
        </w:trPr>
        <w:tc>
          <w:tcPr>
            <w:tcW w:w="40" w:type="dxa"/>
            <w:vAlign w:val="bottom"/>
            <w:tcBorders>
              <w:left w:val="single" w:sz="8" w:color="auto"/>
            </w:tcBorders>
          </w:tcPr>
          <w:p>
            <w:pPr>
              <w:spacing w:after="0"/>
              <w:rPr>
                <w:sz w:val="17"/>
                <w:szCs w:val="17"/>
                <w:color w:val="auto"/>
              </w:rPr>
            </w:pPr>
          </w:p>
        </w:tc>
        <w:tc>
          <w:tcPr>
            <w:tcW w:w="8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40" w:type="dxa"/>
            <w:vAlign w:val="bottom"/>
            <w:gridSpan w:val="3"/>
          </w:tcPr>
          <w:p>
            <w:pPr>
              <w:jc w:val="right"/>
              <w:spacing w:after="0"/>
              <w:rPr>
                <w:sz w:val="20"/>
                <w:szCs w:val="20"/>
                <w:color w:val="auto"/>
              </w:rPr>
            </w:pPr>
            <w:r>
              <w:rPr>
                <w:rFonts w:ascii="Arial" w:cs="Arial" w:eastAsia="Arial" w:hAnsi="Arial"/>
                <w:sz w:val="17"/>
                <w:szCs w:val="17"/>
                <w:color w:val="auto"/>
              </w:rPr>
              <w:t>Total Offering Amounts:</w:t>
            </w:r>
          </w:p>
        </w:tc>
        <w:tc>
          <w:tcPr>
            <w:tcW w:w="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2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40" w:type="dxa"/>
            <w:vAlign w:val="bottom"/>
            <w:gridSpan w:val="2"/>
          </w:tcPr>
          <w:p>
            <w:pPr>
              <w:jc w:val="right"/>
              <w:spacing w:after="0"/>
              <w:rPr>
                <w:sz w:val="20"/>
                <w:szCs w:val="20"/>
                <w:color w:val="auto"/>
              </w:rPr>
            </w:pPr>
            <w:r>
              <w:rPr>
                <w:rFonts w:ascii="Arial" w:cs="Arial" w:eastAsia="Arial" w:hAnsi="Arial"/>
                <w:sz w:val="17"/>
                <w:szCs w:val="17"/>
                <w:color w:val="auto"/>
              </w:rPr>
              <w:t>$ 72,502.51</w:t>
            </w:r>
          </w:p>
        </w:tc>
        <w:tc>
          <w:tcPr>
            <w:tcW w:w="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6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40" w:type="dxa"/>
            <w:vAlign w:val="bottom"/>
            <w:tcBorders>
              <w:left w:val="single" w:sz="8" w:color="auto"/>
            </w:tcBorders>
          </w:tcPr>
          <w:p>
            <w:pPr>
              <w:spacing w:after="0"/>
              <w:rPr>
                <w:sz w:val="19"/>
                <w:szCs w:val="19"/>
                <w:color w:val="auto"/>
              </w:rPr>
            </w:pPr>
          </w:p>
        </w:tc>
        <w:tc>
          <w:tcPr>
            <w:tcW w:w="8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220" w:type="dxa"/>
            <w:vAlign w:val="bottom"/>
            <w:gridSpan w:val="2"/>
          </w:tcPr>
          <w:p>
            <w:pPr>
              <w:jc w:val="right"/>
              <w:spacing w:after="0"/>
              <w:rPr>
                <w:sz w:val="20"/>
                <w:szCs w:val="20"/>
                <w:color w:val="auto"/>
              </w:rPr>
            </w:pPr>
            <w:r>
              <w:rPr>
                <w:rFonts w:ascii="Arial" w:cs="Arial" w:eastAsia="Arial" w:hAnsi="Arial"/>
                <w:sz w:val="17"/>
                <w:szCs w:val="17"/>
                <w:color w:val="auto"/>
              </w:rPr>
              <w:t>525,000,000.00</w:t>
            </w:r>
          </w:p>
        </w:tc>
        <w:tc>
          <w:tcPr>
            <w:tcW w:w="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6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40" w:type="dxa"/>
            <w:vAlign w:val="bottom"/>
            <w:tcBorders>
              <w:left w:val="single" w:sz="8" w:color="auto"/>
            </w:tcBorders>
          </w:tcPr>
          <w:p>
            <w:pPr>
              <w:spacing w:after="0"/>
              <w:rPr>
                <w:sz w:val="20"/>
                <w:szCs w:val="20"/>
                <w:color w:val="auto"/>
              </w:rPr>
            </w:pPr>
          </w:p>
        </w:tc>
        <w:tc>
          <w:tcPr>
            <w:tcW w:w="8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580" w:type="dxa"/>
            <w:vAlign w:val="bottom"/>
            <w:gridSpan w:val="5"/>
          </w:tcPr>
          <w:p>
            <w:pPr>
              <w:jc w:val="right"/>
              <w:spacing w:after="0"/>
              <w:rPr>
                <w:sz w:val="20"/>
                <w:szCs w:val="20"/>
                <w:color w:val="auto"/>
              </w:rPr>
            </w:pPr>
            <w:r>
              <w:rPr>
                <w:rFonts w:ascii="Arial" w:cs="Arial" w:eastAsia="Arial" w:hAnsi="Arial"/>
                <w:sz w:val="17"/>
                <w:szCs w:val="17"/>
                <w:color w:val="auto"/>
              </w:rPr>
              <w:t>Total Fees Previously Paid:</w:t>
            </w:r>
          </w:p>
        </w:tc>
        <w:tc>
          <w:tcPr>
            <w:tcW w:w="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40" w:type="dxa"/>
            <w:vAlign w:val="bottom"/>
            <w:gridSpan w:val="2"/>
          </w:tcPr>
          <w:p>
            <w:pPr>
              <w:jc w:val="right"/>
              <w:spacing w:after="0"/>
              <w:rPr>
                <w:sz w:val="20"/>
                <w:szCs w:val="20"/>
                <w:color w:val="auto"/>
              </w:rPr>
            </w:pPr>
            <w:r>
              <w:rPr>
                <w:rFonts w:ascii="Arial" w:cs="Arial" w:eastAsia="Arial" w:hAnsi="Arial"/>
                <w:sz w:val="17"/>
                <w:szCs w:val="17"/>
                <w:color w:val="auto"/>
              </w:rPr>
              <w:t>$ 0.00</w:t>
            </w:r>
          </w:p>
        </w:tc>
        <w:tc>
          <w:tcPr>
            <w:tcW w:w="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31"/>
        </w:trPr>
        <w:tc>
          <w:tcPr>
            <w:tcW w:w="40" w:type="dxa"/>
            <w:vAlign w:val="bottom"/>
            <w:tcBorders>
              <w:left w:val="single" w:sz="8" w:color="auto"/>
            </w:tcBorders>
          </w:tcPr>
          <w:p>
            <w:pPr>
              <w:spacing w:after="0"/>
              <w:rPr>
                <w:sz w:val="20"/>
                <w:szCs w:val="20"/>
                <w:color w:val="auto"/>
              </w:rPr>
            </w:pPr>
          </w:p>
        </w:tc>
        <w:tc>
          <w:tcPr>
            <w:tcW w:w="8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40" w:type="dxa"/>
            <w:vAlign w:val="bottom"/>
            <w:gridSpan w:val="3"/>
          </w:tcPr>
          <w:p>
            <w:pPr>
              <w:jc w:val="right"/>
              <w:spacing w:after="0"/>
              <w:rPr>
                <w:sz w:val="20"/>
                <w:szCs w:val="20"/>
                <w:color w:val="auto"/>
              </w:rPr>
            </w:pPr>
            <w:r>
              <w:rPr>
                <w:rFonts w:ascii="Arial" w:cs="Arial" w:eastAsia="Arial" w:hAnsi="Arial"/>
                <w:sz w:val="17"/>
                <w:szCs w:val="17"/>
                <w:color w:val="auto"/>
              </w:rPr>
              <w:t>Total Fee Offsets:</w:t>
            </w:r>
          </w:p>
        </w:tc>
        <w:tc>
          <w:tcPr>
            <w:tcW w:w="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40" w:type="dxa"/>
            <w:vAlign w:val="bottom"/>
            <w:gridSpan w:val="2"/>
          </w:tcPr>
          <w:p>
            <w:pPr>
              <w:jc w:val="right"/>
              <w:spacing w:after="0"/>
              <w:rPr>
                <w:sz w:val="20"/>
                <w:szCs w:val="20"/>
                <w:color w:val="auto"/>
              </w:rPr>
            </w:pPr>
            <w:r>
              <w:rPr>
                <w:rFonts w:ascii="Arial" w:cs="Arial" w:eastAsia="Arial" w:hAnsi="Arial"/>
                <w:sz w:val="17"/>
                <w:szCs w:val="17"/>
                <w:color w:val="auto"/>
              </w:rPr>
              <w:t>$ 0.00</w:t>
            </w:r>
          </w:p>
        </w:tc>
        <w:tc>
          <w:tcPr>
            <w:tcW w:w="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46"/>
        </w:trPr>
        <w:tc>
          <w:tcPr>
            <w:tcW w:w="40" w:type="dxa"/>
            <w:vAlign w:val="bottom"/>
            <w:tcBorders>
              <w:left w:val="single" w:sz="8" w:color="auto"/>
              <w:bottom w:val="single" w:sz="8" w:color="auto"/>
            </w:tcBorders>
          </w:tcPr>
          <w:p>
            <w:pPr>
              <w:spacing w:after="0"/>
              <w:rPr>
                <w:sz w:val="21"/>
                <w:szCs w:val="21"/>
                <w:color w:val="auto"/>
              </w:rPr>
            </w:pPr>
          </w:p>
        </w:tc>
        <w:tc>
          <w:tcPr>
            <w:tcW w:w="80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68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72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1840" w:type="dxa"/>
            <w:vAlign w:val="bottom"/>
            <w:tcBorders>
              <w:bottom w:val="single" w:sz="8" w:color="auto"/>
            </w:tcBorders>
            <w:gridSpan w:val="3"/>
          </w:tcPr>
          <w:p>
            <w:pPr>
              <w:jc w:val="right"/>
              <w:spacing w:after="0"/>
              <w:rPr>
                <w:sz w:val="20"/>
                <w:szCs w:val="20"/>
                <w:color w:val="auto"/>
              </w:rPr>
            </w:pPr>
            <w:r>
              <w:rPr>
                <w:rFonts w:ascii="Arial" w:cs="Arial" w:eastAsia="Arial" w:hAnsi="Arial"/>
                <w:sz w:val="17"/>
                <w:szCs w:val="17"/>
                <w:color w:val="auto"/>
              </w:rPr>
              <w:t>Net Fee Due:</w:t>
            </w:r>
          </w:p>
        </w:tc>
        <w:tc>
          <w:tcPr>
            <w:tcW w:w="4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gridSpan w:val="2"/>
          </w:tcPr>
          <w:p>
            <w:pPr>
              <w:jc w:val="right"/>
              <w:spacing w:after="0"/>
              <w:rPr>
                <w:sz w:val="20"/>
                <w:szCs w:val="20"/>
                <w:color w:val="auto"/>
              </w:rPr>
            </w:pPr>
            <w:r>
              <w:rPr>
                <w:rFonts w:ascii="Arial" w:cs="Arial" w:eastAsia="Arial" w:hAnsi="Arial"/>
                <w:sz w:val="17"/>
                <w:szCs w:val="17"/>
                <w:color w:val="auto"/>
              </w:rPr>
              <w:t>$ 72,502.51</w:t>
            </w:r>
          </w:p>
        </w:tc>
        <w:tc>
          <w:tcPr>
            <w:tcW w:w="20" w:type="dxa"/>
            <w:vAlign w:val="bottom"/>
            <w:tcBorders>
              <w:bottom w:val="single" w:sz="8" w:color="auto"/>
            </w:tcBorders>
          </w:tcPr>
          <w:p>
            <w:pPr>
              <w:spacing w:after="0"/>
              <w:rPr>
                <w:sz w:val="21"/>
                <w:szCs w:val="21"/>
                <w:color w:val="auto"/>
              </w:rPr>
            </w:pPr>
          </w:p>
        </w:tc>
        <w:tc>
          <w:tcPr>
            <w:tcW w:w="70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68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74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960" w:type="dxa"/>
            <w:vAlign w:val="bottom"/>
            <w:tcBorders>
              <w:bottom w:val="single" w:sz="8" w:color="auto"/>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bl>
    <w:p>
      <w:pPr>
        <w:spacing w:after="0" w:line="216"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Offering Note</w:t>
      </w:r>
    </w:p>
    <w:p>
      <w:pPr>
        <w:spacing w:after="0" w:line="109" w:lineRule="exact"/>
        <w:rPr>
          <w:sz w:val="20"/>
          <w:szCs w:val="20"/>
          <w:color w:val="auto"/>
        </w:rPr>
      </w:pPr>
    </w:p>
    <w:p>
      <w:pPr>
        <w:ind w:left="220" w:right="220" w:hanging="184"/>
        <w:spacing w:after="0" w:line="243" w:lineRule="auto"/>
        <w:tabs>
          <w:tab w:leader="none" w:pos="220" w:val="left"/>
        </w:tabs>
        <w:numPr>
          <w:ilvl w:val="0"/>
          <w:numId w:val="46"/>
        </w:numPr>
        <w:rPr>
          <w:rFonts w:ascii="Arial" w:cs="Arial" w:eastAsia="Arial" w:hAnsi="Arial"/>
          <w:sz w:val="20"/>
          <w:szCs w:val="20"/>
          <w:color w:val="auto"/>
          <w:vertAlign w:val="superscript"/>
        </w:rPr>
      </w:pPr>
      <w:r>
        <w:rPr>
          <w:rFonts w:ascii="Arial" w:cs="Arial" w:eastAsia="Arial" w:hAnsi="Arial"/>
          <w:sz w:val="16"/>
          <w:szCs w:val="16"/>
          <w:color w:val="auto"/>
        </w:rPr>
        <w:t>The registration fee is calculated and being paid pursuant to Rule 457(r) of the Securities Act of 1933, as amended (the "Securities Act"). The fee payable in connection with the offering pursuant to this prospectus supplement is being paid herewith in accordance with Rule 456(b) under the Securities Act, and represents deferred payment of the registration fees in connection with the registrant's Registration Statement on Form S-3ASR (Registration No. 333-289582). Includes 1,733,333 shares of common stock that are issuable upon the exercise of pre-funded warrants referenced below. This also includes 1,600,000 shares of common stock issuable upon exercise of the underwriters' option to purchase additional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59690</wp:posOffset>
            </wp:positionV>
            <wp:extent cx="7148195" cy="3873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16">
                      <a:extLst>
                        <a:ext uri="{28A0092B-C50C-407E-A947-70E740481C1C}"/>
                      </a:extLst>
                    </a:blip>
                    <a:srcRect/>
                    <a:stretch>
                      <a:fillRect/>
                    </a:stretch>
                  </pic:blipFill>
                  <pic:spPr bwMode="auto">
                    <a:xfrm>
                      <a:off x="0" y="0"/>
                      <a:ext cx="7148195" cy="38735"/>
                    </a:xfrm>
                    <a:prstGeom prst="rect">
                      <a:avLst/>
                    </a:prstGeom>
                    <a:noFill/>
                  </pic:spPr>
                </pic:pic>
              </a:graphicData>
            </a:graphic>
          </wp:anchor>
        </w:drawing>
      </w:r>
    </w:p>
    <w:p>
      <w:pPr>
        <w:spacing w:after="0" w:line="220" w:lineRule="exact"/>
        <w:rPr>
          <w:sz w:val="20"/>
          <w:szCs w:val="20"/>
          <w:color w:val="auto"/>
        </w:rPr>
      </w:pPr>
    </w:p>
    <w:p>
      <w:pPr>
        <w:ind w:left="220" w:right="120" w:hanging="184"/>
        <w:spacing w:after="0" w:line="229" w:lineRule="auto"/>
        <w:tabs>
          <w:tab w:leader="none" w:pos="220" w:val="left"/>
        </w:tabs>
        <w:numPr>
          <w:ilvl w:val="0"/>
          <w:numId w:val="47"/>
        </w:numPr>
        <w:rPr>
          <w:rFonts w:ascii="Arial" w:cs="Arial" w:eastAsia="Arial" w:hAnsi="Arial"/>
          <w:sz w:val="21"/>
          <w:szCs w:val="21"/>
          <w:color w:val="auto"/>
          <w:vertAlign w:val="superscript"/>
        </w:rPr>
      </w:pPr>
      <w:r>
        <w:rPr>
          <w:rFonts w:ascii="Arial" w:cs="Arial" w:eastAsia="Arial" w:hAnsi="Arial"/>
          <w:sz w:val="17"/>
          <w:szCs w:val="17"/>
          <w:color w:val="auto"/>
        </w:rPr>
        <w:t>Pursuant to Rule 416 under the Securities Act, the pre-funded warrants to purchase common stock being registered hereunder include such indeterminate number of additional shares of common stock as may be issued after the date hereof as a result of share splits, share dividends or similar transactions. The registration fee is calculated in accordance with Rule 457(r) under the Securities Act. Represents the sum of the pre-funded warrants sales price of $37.499 per pre-funded warrant and the exercise price of $0.001 per share of common stock issuable pursuant to the pre-funded warrants. Pursuant to Rule 457(g), the entire fee is allocated to the common stock underlying the pre-funded warrants.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60960</wp:posOffset>
            </wp:positionV>
            <wp:extent cx="7148195" cy="3873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17">
                      <a:extLst>
                        <a:ext uri="{28A0092B-C50C-407E-A947-70E740481C1C}"/>
                      </a:extLst>
                    </a:blip>
                    <a:srcRect/>
                    <a:stretch>
                      <a:fillRect/>
                    </a:stretch>
                  </pic:blipFill>
                  <pic:spPr bwMode="auto">
                    <a:xfrm>
                      <a:off x="0" y="0"/>
                      <a:ext cx="7148195" cy="38735"/>
                    </a:xfrm>
                    <a:prstGeom prst="rect">
                      <a:avLst/>
                    </a:prstGeom>
                    <a:noFill/>
                  </pic:spPr>
                </pic:pic>
              </a:graphicData>
            </a:graphic>
          </wp:anchor>
        </w:drawing>
      </w:r>
    </w:p>
    <w:p>
      <w:pPr>
        <w:spacing w:after="0" w:line="200" w:lineRule="exact"/>
        <w:rPr>
          <w:sz w:val="20"/>
          <w:szCs w:val="20"/>
          <w:color w:val="auto"/>
        </w:rPr>
      </w:pP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275"/>
        </w:trPr>
        <w:tc>
          <w:tcPr>
            <w:tcW w:w="40" w:type="dxa"/>
            <w:vAlign w:val="bottom"/>
            <w:tcBorders>
              <w:bottom w:val="single" w:sz="8" w:color="auto"/>
            </w:tcBorders>
          </w:tcPr>
          <w:p>
            <w:pPr>
              <w:spacing w:after="0"/>
              <w:rPr>
                <w:sz w:val="23"/>
                <w:szCs w:val="23"/>
                <w:color w:val="auto"/>
              </w:rPr>
            </w:pPr>
          </w:p>
        </w:tc>
        <w:tc>
          <w:tcPr>
            <w:tcW w:w="3300" w:type="dxa"/>
            <w:vAlign w:val="bottom"/>
            <w:tcBorders>
              <w:bottom w:val="single" w:sz="8" w:color="auto"/>
            </w:tcBorders>
            <w:gridSpan w:val="5"/>
          </w:tcPr>
          <w:p>
            <w:pPr>
              <w:spacing w:after="0"/>
              <w:rPr>
                <w:sz w:val="20"/>
                <w:szCs w:val="20"/>
                <w:color w:val="auto"/>
              </w:rPr>
            </w:pPr>
            <w:r>
              <w:rPr>
                <w:rFonts w:ascii="Arial" w:cs="Arial" w:eastAsia="Arial" w:hAnsi="Arial"/>
                <w:sz w:val="17"/>
                <w:szCs w:val="17"/>
                <w:b w:val="1"/>
                <w:bCs w:val="1"/>
                <w:color w:val="auto"/>
              </w:rPr>
              <w:t>Table 2: Fee Offset Claims and Sources</w:t>
            </w:r>
          </w:p>
        </w:tc>
        <w:tc>
          <w:tcPr>
            <w:tcW w:w="20" w:type="dxa"/>
            <w:vAlign w:val="bottom"/>
            <w:tcBorders>
              <w:bottom w:val="single" w:sz="8" w:color="auto"/>
            </w:tcBorders>
          </w:tcPr>
          <w:p>
            <w:pPr>
              <w:spacing w:after="0"/>
              <w:rPr>
                <w:sz w:val="23"/>
                <w:szCs w:val="23"/>
                <w:color w:val="auto"/>
              </w:rPr>
            </w:pPr>
          </w:p>
        </w:tc>
        <w:tc>
          <w:tcPr>
            <w:tcW w:w="62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74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62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62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68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94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92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92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1700" w:type="dxa"/>
            <w:vAlign w:val="bottom"/>
            <w:tcBorders>
              <w:bottom w:val="single" w:sz="8" w:color="auto"/>
            </w:tcBorders>
            <w:gridSpan w:val="4"/>
          </w:tcPr>
          <w:p>
            <w:pPr>
              <w:ind w:left="340"/>
              <w:spacing w:after="0" w:line="196" w:lineRule="exact"/>
              <w:rPr>
                <w:sz w:val="20"/>
                <w:szCs w:val="20"/>
                <w:color w:val="auto"/>
              </w:rPr>
            </w:pPr>
            <w:r>
              <w:rPr>
                <w:rFonts w:ascii="MS PGothic" w:cs="MS PGothic" w:eastAsia="MS PGothic" w:hAnsi="MS PGothic"/>
                <w:sz w:val="17"/>
                <w:szCs w:val="17"/>
                <w:color w:val="auto"/>
                <w:highlight w:val="black"/>
                <w:w w:val="98"/>
              </w:rPr>
              <w:t>☑</w:t>
            </w:r>
            <w:r>
              <w:rPr>
                <w:rFonts w:ascii="Arial" w:cs="Arial" w:eastAsia="Arial" w:hAnsi="Arial"/>
                <w:sz w:val="17"/>
                <w:szCs w:val="17"/>
                <w:b w:val="1"/>
                <w:bCs w:val="1"/>
                <w:color w:val="auto"/>
                <w:w w:val="98"/>
              </w:rPr>
              <w:t>Not Applicable</w:t>
            </w:r>
          </w:p>
        </w:tc>
        <w:tc>
          <w:tcPr>
            <w:tcW w:w="0" w:type="dxa"/>
            <w:vAlign w:val="bottom"/>
          </w:tcPr>
          <w:p>
            <w:pPr>
              <w:spacing w:after="0"/>
              <w:rPr>
                <w:sz w:val="1"/>
                <w:szCs w:val="1"/>
                <w:color w:val="auto"/>
              </w:rPr>
            </w:pPr>
          </w:p>
        </w:tc>
      </w:tr>
      <w:tr>
        <w:trPr>
          <w:trHeight w:val="195"/>
        </w:trPr>
        <w:tc>
          <w:tcPr>
            <w:tcW w:w="40" w:type="dxa"/>
            <w:vAlign w:val="bottom"/>
          </w:tcPr>
          <w:p>
            <w:pPr>
              <w:spacing w:after="0"/>
              <w:rPr>
                <w:sz w:val="16"/>
                <w:szCs w:val="16"/>
                <w:color w:val="auto"/>
              </w:rPr>
            </w:pPr>
          </w:p>
        </w:tc>
        <w:tc>
          <w:tcPr>
            <w:tcW w:w="9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5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4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4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80" w:type="dxa"/>
            <w:vAlign w:val="bottom"/>
            <w:shd w:val="clear" w:color="auto" w:fill="9ADAF6"/>
          </w:tcPr>
          <w:p>
            <w:pPr>
              <w:jc w:val="center"/>
              <w:spacing w:after="0"/>
              <w:rPr>
                <w:sz w:val="20"/>
                <w:szCs w:val="20"/>
                <w:color w:val="auto"/>
              </w:rPr>
            </w:pPr>
            <w:r>
              <w:rPr>
                <w:rFonts w:ascii="Arial" w:cs="Arial" w:eastAsia="Arial" w:hAnsi="Arial"/>
                <w:sz w:val="17"/>
                <w:szCs w:val="17"/>
                <w:b w:val="1"/>
                <w:bCs w:val="1"/>
                <w:color w:val="auto"/>
              </w:rPr>
              <w:t>Unsold</w:t>
            </w:r>
          </w:p>
        </w:tc>
        <w:tc>
          <w:tcPr>
            <w:tcW w:w="20" w:type="dxa"/>
            <w:vAlign w:val="bottom"/>
          </w:tcPr>
          <w:p>
            <w:pPr>
              <w:spacing w:after="0"/>
              <w:rPr>
                <w:sz w:val="16"/>
                <w:szCs w:val="16"/>
                <w:color w:val="auto"/>
              </w:rPr>
            </w:pPr>
          </w:p>
        </w:tc>
        <w:tc>
          <w:tcPr>
            <w:tcW w:w="660" w:type="dxa"/>
            <w:vAlign w:val="bottom"/>
            <w:shd w:val="clear" w:color="auto" w:fill="9ADAF6"/>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0" w:type="dxa"/>
            <w:vAlign w:val="bottom"/>
          </w:tcPr>
          <w:p>
            <w:pPr>
              <w:spacing w:after="0"/>
              <w:rPr>
                <w:sz w:val="16"/>
                <w:szCs w:val="16"/>
                <w:color w:val="auto"/>
              </w:rPr>
            </w:pPr>
          </w:p>
        </w:tc>
        <w:tc>
          <w:tcPr>
            <w:tcW w:w="9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5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4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40" w:type="dxa"/>
            <w:vAlign w:val="bottom"/>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8"/>
              </w:rPr>
              <w:t>Security</w:t>
            </w:r>
          </w:p>
        </w:tc>
        <w:tc>
          <w:tcPr>
            <w:tcW w:w="20" w:type="dxa"/>
            <w:vAlign w:val="bottom"/>
          </w:tcPr>
          <w:p>
            <w:pPr>
              <w:spacing w:after="0"/>
              <w:rPr>
                <w:sz w:val="16"/>
                <w:szCs w:val="16"/>
                <w:color w:val="auto"/>
              </w:rPr>
            </w:pPr>
          </w:p>
        </w:tc>
        <w:tc>
          <w:tcPr>
            <w:tcW w:w="920" w:type="dxa"/>
            <w:vAlign w:val="bottom"/>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8"/>
              </w:rPr>
              <w:t>Security</w:t>
            </w:r>
          </w:p>
        </w:tc>
        <w:tc>
          <w:tcPr>
            <w:tcW w:w="20" w:type="dxa"/>
            <w:vAlign w:val="bottom"/>
          </w:tcPr>
          <w:p>
            <w:pPr>
              <w:spacing w:after="0"/>
              <w:rPr>
                <w:sz w:val="16"/>
                <w:szCs w:val="16"/>
                <w:color w:val="auto"/>
              </w:rPr>
            </w:pPr>
          </w:p>
        </w:tc>
        <w:tc>
          <w:tcPr>
            <w:tcW w:w="920" w:type="dxa"/>
            <w:vAlign w:val="bottom"/>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7"/>
              </w:rPr>
              <w:t>Unsold</w:t>
            </w:r>
          </w:p>
        </w:tc>
        <w:tc>
          <w:tcPr>
            <w:tcW w:w="20" w:type="dxa"/>
            <w:vAlign w:val="bottom"/>
          </w:tcPr>
          <w:p>
            <w:pPr>
              <w:spacing w:after="0"/>
              <w:rPr>
                <w:sz w:val="16"/>
                <w:szCs w:val="16"/>
                <w:color w:val="auto"/>
              </w:rPr>
            </w:pPr>
          </w:p>
        </w:tc>
        <w:tc>
          <w:tcPr>
            <w:tcW w:w="980" w:type="dxa"/>
            <w:vAlign w:val="bottom"/>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7"/>
              </w:rPr>
              <w:t>Aggregate</w:t>
            </w:r>
          </w:p>
        </w:tc>
        <w:tc>
          <w:tcPr>
            <w:tcW w:w="20" w:type="dxa"/>
            <w:vAlign w:val="bottom"/>
          </w:tcPr>
          <w:p>
            <w:pPr>
              <w:spacing w:after="0"/>
              <w:rPr>
                <w:sz w:val="16"/>
                <w:szCs w:val="16"/>
                <w:color w:val="auto"/>
              </w:rPr>
            </w:pPr>
          </w:p>
        </w:tc>
        <w:tc>
          <w:tcPr>
            <w:tcW w:w="660" w:type="dxa"/>
            <w:vAlign w:val="bottom"/>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rPr>
              <w:t>Fee</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0" w:type="dxa"/>
            <w:vAlign w:val="bottom"/>
          </w:tcPr>
          <w:p>
            <w:pPr>
              <w:spacing w:after="0"/>
              <w:rPr>
                <w:sz w:val="16"/>
                <w:szCs w:val="16"/>
                <w:color w:val="auto"/>
              </w:rPr>
            </w:pPr>
          </w:p>
        </w:tc>
        <w:tc>
          <w:tcPr>
            <w:tcW w:w="9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5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20" w:type="dxa"/>
            <w:vAlign w:val="bottom"/>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8"/>
              </w:rPr>
              <w:t>Form</w:t>
            </w:r>
          </w:p>
        </w:tc>
        <w:tc>
          <w:tcPr>
            <w:tcW w:w="20" w:type="dxa"/>
            <w:vAlign w:val="bottom"/>
          </w:tcPr>
          <w:p>
            <w:pPr>
              <w:spacing w:after="0"/>
              <w:rPr>
                <w:sz w:val="16"/>
                <w:szCs w:val="16"/>
                <w:color w:val="auto"/>
              </w:rPr>
            </w:pPr>
          </w:p>
        </w:tc>
        <w:tc>
          <w:tcPr>
            <w:tcW w:w="74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20" w:type="dxa"/>
            <w:vAlign w:val="bottom"/>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8"/>
              </w:rPr>
              <w:t>Initial</w:t>
            </w:r>
          </w:p>
        </w:tc>
        <w:tc>
          <w:tcPr>
            <w:tcW w:w="20" w:type="dxa"/>
            <w:vAlign w:val="bottom"/>
          </w:tcPr>
          <w:p>
            <w:pPr>
              <w:spacing w:after="0"/>
              <w:rPr>
                <w:sz w:val="16"/>
                <w:szCs w:val="16"/>
                <w:color w:val="auto"/>
              </w:rPr>
            </w:pPr>
          </w:p>
        </w:tc>
        <w:tc>
          <w:tcPr>
            <w:tcW w:w="6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5"/>
              </w:rPr>
              <w:t>Fee</w:t>
            </w:r>
          </w:p>
        </w:tc>
        <w:tc>
          <w:tcPr>
            <w:tcW w:w="20" w:type="dxa"/>
            <w:vAlign w:val="bottom"/>
          </w:tcPr>
          <w:p>
            <w:pPr>
              <w:spacing w:after="0"/>
              <w:rPr>
                <w:sz w:val="16"/>
                <w:szCs w:val="16"/>
                <w:color w:val="auto"/>
              </w:rPr>
            </w:pPr>
          </w:p>
        </w:tc>
        <w:tc>
          <w:tcPr>
            <w:tcW w:w="940" w:type="dxa"/>
            <w:vAlign w:val="bottom"/>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5"/>
              </w:rPr>
              <w:t>Type</w:t>
            </w:r>
          </w:p>
        </w:tc>
        <w:tc>
          <w:tcPr>
            <w:tcW w:w="20" w:type="dxa"/>
            <w:vAlign w:val="bottom"/>
          </w:tcPr>
          <w:p>
            <w:pPr>
              <w:spacing w:after="0"/>
              <w:rPr>
                <w:sz w:val="16"/>
                <w:szCs w:val="16"/>
                <w:color w:val="auto"/>
              </w:rPr>
            </w:pPr>
          </w:p>
        </w:tc>
        <w:tc>
          <w:tcPr>
            <w:tcW w:w="920" w:type="dxa"/>
            <w:vAlign w:val="bottom"/>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7"/>
              </w:rPr>
              <w:t>Title</w:t>
            </w:r>
          </w:p>
        </w:tc>
        <w:tc>
          <w:tcPr>
            <w:tcW w:w="20" w:type="dxa"/>
            <w:vAlign w:val="bottom"/>
          </w:tcPr>
          <w:p>
            <w:pPr>
              <w:spacing w:after="0"/>
              <w:rPr>
                <w:sz w:val="16"/>
                <w:szCs w:val="16"/>
                <w:color w:val="auto"/>
              </w:rPr>
            </w:pPr>
          </w:p>
        </w:tc>
        <w:tc>
          <w:tcPr>
            <w:tcW w:w="920" w:type="dxa"/>
            <w:vAlign w:val="bottom"/>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8"/>
              </w:rPr>
              <w:t>Securities</w:t>
            </w:r>
          </w:p>
        </w:tc>
        <w:tc>
          <w:tcPr>
            <w:tcW w:w="20" w:type="dxa"/>
            <w:vAlign w:val="bottom"/>
          </w:tcPr>
          <w:p>
            <w:pPr>
              <w:spacing w:after="0"/>
              <w:rPr>
                <w:sz w:val="16"/>
                <w:szCs w:val="16"/>
                <w:color w:val="auto"/>
              </w:rPr>
            </w:pPr>
          </w:p>
        </w:tc>
        <w:tc>
          <w:tcPr>
            <w:tcW w:w="980" w:type="dxa"/>
            <w:vAlign w:val="bottom"/>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9"/>
              </w:rPr>
              <w:t>Offering</w:t>
            </w:r>
          </w:p>
        </w:tc>
        <w:tc>
          <w:tcPr>
            <w:tcW w:w="20" w:type="dxa"/>
            <w:vAlign w:val="bottom"/>
          </w:tcPr>
          <w:p>
            <w:pPr>
              <w:spacing w:after="0"/>
              <w:rPr>
                <w:sz w:val="16"/>
                <w:szCs w:val="16"/>
                <w:color w:val="auto"/>
              </w:rPr>
            </w:pPr>
          </w:p>
        </w:tc>
        <w:tc>
          <w:tcPr>
            <w:tcW w:w="660" w:type="dxa"/>
            <w:vAlign w:val="bottom"/>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rPr>
              <w:t>Paid</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95"/>
        </w:trPr>
        <w:tc>
          <w:tcPr>
            <w:tcW w:w="40" w:type="dxa"/>
            <w:vAlign w:val="bottom"/>
          </w:tcPr>
          <w:p>
            <w:pPr>
              <w:spacing w:after="0"/>
              <w:rPr>
                <w:sz w:val="8"/>
                <w:szCs w:val="8"/>
                <w:color w:val="auto"/>
              </w:rPr>
            </w:pPr>
          </w:p>
        </w:tc>
        <w:tc>
          <w:tcPr>
            <w:tcW w:w="98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70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1580" w:type="dxa"/>
            <w:vAlign w:val="bottom"/>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9"/>
              </w:rPr>
              <w:t>Registrant or Filer</w:t>
            </w:r>
          </w:p>
        </w:tc>
        <w:tc>
          <w:tcPr>
            <w:tcW w:w="20" w:type="dxa"/>
            <w:vAlign w:val="bottom"/>
          </w:tcPr>
          <w:p>
            <w:pPr>
              <w:spacing w:after="0"/>
              <w:rPr>
                <w:sz w:val="8"/>
                <w:szCs w:val="8"/>
                <w:color w:val="auto"/>
              </w:rPr>
            </w:pPr>
          </w:p>
        </w:tc>
        <w:tc>
          <w:tcPr>
            <w:tcW w:w="620" w:type="dxa"/>
            <w:vAlign w:val="bottom"/>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3"/>
              </w:rPr>
              <w:t>or</w:t>
            </w:r>
          </w:p>
        </w:tc>
        <w:tc>
          <w:tcPr>
            <w:tcW w:w="20" w:type="dxa"/>
            <w:vAlign w:val="bottom"/>
          </w:tcPr>
          <w:p>
            <w:pPr>
              <w:spacing w:after="0"/>
              <w:rPr>
                <w:sz w:val="8"/>
                <w:szCs w:val="8"/>
                <w:color w:val="auto"/>
              </w:rPr>
            </w:pPr>
          </w:p>
        </w:tc>
        <w:tc>
          <w:tcPr>
            <w:tcW w:w="740" w:type="dxa"/>
            <w:vAlign w:val="bottom"/>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rPr>
              <w:t>File</w:t>
            </w:r>
          </w:p>
        </w:tc>
        <w:tc>
          <w:tcPr>
            <w:tcW w:w="20" w:type="dxa"/>
            <w:vAlign w:val="bottom"/>
          </w:tcPr>
          <w:p>
            <w:pPr>
              <w:spacing w:after="0"/>
              <w:rPr>
                <w:sz w:val="8"/>
                <w:szCs w:val="8"/>
                <w:color w:val="auto"/>
              </w:rPr>
            </w:pPr>
          </w:p>
        </w:tc>
        <w:tc>
          <w:tcPr>
            <w:tcW w:w="620" w:type="dxa"/>
            <w:vAlign w:val="bottom"/>
            <w:vMerge w:val="continue"/>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620" w:type="dxa"/>
            <w:vAlign w:val="bottom"/>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rPr>
              <w:t>Filing</w:t>
            </w:r>
          </w:p>
        </w:tc>
        <w:tc>
          <w:tcPr>
            <w:tcW w:w="20" w:type="dxa"/>
            <w:vAlign w:val="bottom"/>
          </w:tcPr>
          <w:p>
            <w:pPr>
              <w:spacing w:after="0"/>
              <w:rPr>
                <w:sz w:val="8"/>
                <w:szCs w:val="8"/>
                <w:color w:val="auto"/>
              </w:rPr>
            </w:pPr>
          </w:p>
        </w:tc>
        <w:tc>
          <w:tcPr>
            <w:tcW w:w="680" w:type="dxa"/>
            <w:vAlign w:val="bottom"/>
            <w:vMerge w:val="continue"/>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940" w:type="dxa"/>
            <w:vAlign w:val="bottom"/>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9"/>
              </w:rPr>
              <w:t>Associated</w:t>
            </w:r>
          </w:p>
        </w:tc>
        <w:tc>
          <w:tcPr>
            <w:tcW w:w="20" w:type="dxa"/>
            <w:vAlign w:val="bottom"/>
          </w:tcPr>
          <w:p>
            <w:pPr>
              <w:spacing w:after="0"/>
              <w:rPr>
                <w:sz w:val="8"/>
                <w:szCs w:val="8"/>
                <w:color w:val="auto"/>
              </w:rPr>
            </w:pPr>
          </w:p>
        </w:tc>
        <w:tc>
          <w:tcPr>
            <w:tcW w:w="920" w:type="dxa"/>
            <w:vAlign w:val="bottom"/>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9"/>
              </w:rPr>
              <w:t>Associated</w:t>
            </w:r>
          </w:p>
        </w:tc>
        <w:tc>
          <w:tcPr>
            <w:tcW w:w="20" w:type="dxa"/>
            <w:vAlign w:val="bottom"/>
          </w:tcPr>
          <w:p>
            <w:pPr>
              <w:spacing w:after="0"/>
              <w:rPr>
                <w:sz w:val="8"/>
                <w:szCs w:val="8"/>
                <w:color w:val="auto"/>
              </w:rPr>
            </w:pPr>
          </w:p>
        </w:tc>
        <w:tc>
          <w:tcPr>
            <w:tcW w:w="920" w:type="dxa"/>
            <w:vAlign w:val="bottom"/>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6"/>
              </w:rPr>
              <w:t>Associated</w:t>
            </w:r>
          </w:p>
        </w:tc>
        <w:tc>
          <w:tcPr>
            <w:tcW w:w="20" w:type="dxa"/>
            <w:vAlign w:val="bottom"/>
          </w:tcPr>
          <w:p>
            <w:pPr>
              <w:spacing w:after="0"/>
              <w:rPr>
                <w:sz w:val="8"/>
                <w:szCs w:val="8"/>
                <w:color w:val="auto"/>
              </w:rPr>
            </w:pPr>
          </w:p>
        </w:tc>
        <w:tc>
          <w:tcPr>
            <w:tcW w:w="980" w:type="dxa"/>
            <w:vAlign w:val="bottom"/>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6"/>
              </w:rPr>
              <w:t>Amount</w:t>
            </w:r>
          </w:p>
        </w:tc>
        <w:tc>
          <w:tcPr>
            <w:tcW w:w="20" w:type="dxa"/>
            <w:vAlign w:val="bottom"/>
          </w:tcPr>
          <w:p>
            <w:pPr>
              <w:spacing w:after="0"/>
              <w:rPr>
                <w:sz w:val="8"/>
                <w:szCs w:val="8"/>
                <w:color w:val="auto"/>
              </w:rPr>
            </w:pPr>
          </w:p>
        </w:tc>
        <w:tc>
          <w:tcPr>
            <w:tcW w:w="660" w:type="dxa"/>
            <w:vAlign w:val="bottom"/>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9"/>
              </w:rPr>
              <w:t>with</w:t>
            </w: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68"/>
        </w:trPr>
        <w:tc>
          <w:tcPr>
            <w:tcW w:w="40" w:type="dxa"/>
            <w:vAlign w:val="bottom"/>
          </w:tcPr>
          <w:p>
            <w:pPr>
              <w:spacing w:after="0"/>
              <w:rPr>
                <w:sz w:val="14"/>
                <w:szCs w:val="14"/>
                <w:color w:val="auto"/>
              </w:rPr>
            </w:pPr>
          </w:p>
        </w:tc>
        <w:tc>
          <w:tcPr>
            <w:tcW w:w="980" w:type="dxa"/>
            <w:vAlign w:val="bottom"/>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700" w:type="dxa"/>
            <w:vAlign w:val="bottom"/>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1580" w:type="dxa"/>
            <w:vAlign w:val="bottom"/>
            <w:vMerge w:val="continue"/>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620" w:type="dxa"/>
            <w:vAlign w:val="bottom"/>
            <w:vMerge w:val="continue"/>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740" w:type="dxa"/>
            <w:vAlign w:val="bottom"/>
            <w:vMerge w:val="continue"/>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620" w:type="dxa"/>
            <w:vAlign w:val="bottom"/>
            <w:shd w:val="clear" w:color="auto" w:fill="9ADAF6"/>
          </w:tcPr>
          <w:p>
            <w:pPr>
              <w:jc w:val="center"/>
              <w:spacing w:after="0" w:line="168" w:lineRule="exact"/>
              <w:rPr>
                <w:sz w:val="20"/>
                <w:szCs w:val="20"/>
                <w:color w:val="auto"/>
              </w:rPr>
            </w:pPr>
            <w:r>
              <w:rPr>
                <w:rFonts w:ascii="Arial" w:cs="Arial" w:eastAsia="Arial" w:hAnsi="Arial"/>
                <w:sz w:val="17"/>
                <w:szCs w:val="17"/>
                <w:b w:val="1"/>
                <w:bCs w:val="1"/>
                <w:color w:val="auto"/>
              </w:rPr>
              <w:t>Filing</w:t>
            </w:r>
          </w:p>
        </w:tc>
        <w:tc>
          <w:tcPr>
            <w:tcW w:w="20" w:type="dxa"/>
            <w:vAlign w:val="bottom"/>
          </w:tcPr>
          <w:p>
            <w:pPr>
              <w:spacing w:after="0"/>
              <w:rPr>
                <w:sz w:val="14"/>
                <w:szCs w:val="14"/>
                <w:color w:val="auto"/>
              </w:rPr>
            </w:pPr>
          </w:p>
        </w:tc>
        <w:tc>
          <w:tcPr>
            <w:tcW w:w="620" w:type="dxa"/>
            <w:vAlign w:val="bottom"/>
            <w:vMerge w:val="continue"/>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680" w:type="dxa"/>
            <w:vAlign w:val="bottom"/>
            <w:shd w:val="clear" w:color="auto" w:fill="9ADAF6"/>
          </w:tcPr>
          <w:p>
            <w:pPr>
              <w:jc w:val="center"/>
              <w:spacing w:after="0" w:line="168" w:lineRule="exact"/>
              <w:rPr>
                <w:sz w:val="20"/>
                <w:szCs w:val="20"/>
                <w:color w:val="auto"/>
              </w:rPr>
            </w:pPr>
            <w:r>
              <w:rPr>
                <w:rFonts w:ascii="Arial" w:cs="Arial" w:eastAsia="Arial" w:hAnsi="Arial"/>
                <w:sz w:val="17"/>
                <w:szCs w:val="17"/>
                <w:b w:val="1"/>
                <w:bCs w:val="1"/>
                <w:color w:val="auto"/>
                <w:w w:val="97"/>
              </w:rPr>
              <w:t>Offset</w:t>
            </w:r>
          </w:p>
        </w:tc>
        <w:tc>
          <w:tcPr>
            <w:tcW w:w="20" w:type="dxa"/>
            <w:vAlign w:val="bottom"/>
          </w:tcPr>
          <w:p>
            <w:pPr>
              <w:spacing w:after="0"/>
              <w:rPr>
                <w:sz w:val="14"/>
                <w:szCs w:val="14"/>
                <w:color w:val="auto"/>
              </w:rPr>
            </w:pPr>
          </w:p>
        </w:tc>
        <w:tc>
          <w:tcPr>
            <w:tcW w:w="940" w:type="dxa"/>
            <w:vAlign w:val="bottom"/>
            <w:vMerge w:val="continue"/>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920" w:type="dxa"/>
            <w:vAlign w:val="bottom"/>
            <w:vMerge w:val="continue"/>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920" w:type="dxa"/>
            <w:vAlign w:val="bottom"/>
            <w:vMerge w:val="continue"/>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980" w:type="dxa"/>
            <w:vAlign w:val="bottom"/>
            <w:vMerge w:val="continue"/>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660" w:type="dxa"/>
            <w:vAlign w:val="bottom"/>
            <w:vMerge w:val="continue"/>
            <w:shd w:val="clear" w:color="auto" w:fill="9ADAF6"/>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40" w:type="dxa"/>
            <w:vAlign w:val="bottom"/>
          </w:tcPr>
          <w:p>
            <w:pPr>
              <w:spacing w:after="0"/>
              <w:rPr>
                <w:sz w:val="16"/>
                <w:szCs w:val="16"/>
                <w:color w:val="auto"/>
              </w:rPr>
            </w:pPr>
          </w:p>
        </w:tc>
        <w:tc>
          <w:tcPr>
            <w:tcW w:w="9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580" w:type="dxa"/>
            <w:vAlign w:val="bottom"/>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9"/>
              </w:rPr>
              <w:t>Name</w:t>
            </w:r>
          </w:p>
        </w:tc>
        <w:tc>
          <w:tcPr>
            <w:tcW w:w="20" w:type="dxa"/>
            <w:vAlign w:val="bottom"/>
          </w:tcPr>
          <w:p>
            <w:pPr>
              <w:spacing w:after="0"/>
              <w:rPr>
                <w:sz w:val="16"/>
                <w:szCs w:val="16"/>
                <w:color w:val="auto"/>
              </w:rPr>
            </w:pPr>
          </w:p>
        </w:tc>
        <w:tc>
          <w:tcPr>
            <w:tcW w:w="620" w:type="dxa"/>
            <w:vAlign w:val="bottom"/>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6"/>
              </w:rPr>
              <w:t>Filing</w:t>
            </w:r>
          </w:p>
        </w:tc>
        <w:tc>
          <w:tcPr>
            <w:tcW w:w="20" w:type="dxa"/>
            <w:vAlign w:val="bottom"/>
          </w:tcPr>
          <w:p>
            <w:pPr>
              <w:spacing w:after="0"/>
              <w:rPr>
                <w:sz w:val="16"/>
                <w:szCs w:val="16"/>
                <w:color w:val="auto"/>
              </w:rPr>
            </w:pPr>
          </w:p>
        </w:tc>
        <w:tc>
          <w:tcPr>
            <w:tcW w:w="740" w:type="dxa"/>
            <w:vAlign w:val="bottom"/>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6"/>
              </w:rPr>
              <w:t>Number</w:t>
            </w:r>
          </w:p>
        </w:tc>
        <w:tc>
          <w:tcPr>
            <w:tcW w:w="20" w:type="dxa"/>
            <w:vAlign w:val="bottom"/>
          </w:tcPr>
          <w:p>
            <w:pPr>
              <w:spacing w:after="0"/>
              <w:rPr>
                <w:sz w:val="16"/>
                <w:szCs w:val="16"/>
                <w:color w:val="auto"/>
              </w:rPr>
            </w:pPr>
          </w:p>
        </w:tc>
        <w:tc>
          <w:tcPr>
            <w:tcW w:w="620" w:type="dxa"/>
            <w:vAlign w:val="bottom"/>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rPr>
              <w:t>Date</w:t>
            </w:r>
          </w:p>
        </w:tc>
        <w:tc>
          <w:tcPr>
            <w:tcW w:w="20" w:type="dxa"/>
            <w:vAlign w:val="bottom"/>
          </w:tcPr>
          <w:p>
            <w:pPr>
              <w:spacing w:after="0"/>
              <w:rPr>
                <w:sz w:val="16"/>
                <w:szCs w:val="16"/>
                <w:color w:val="auto"/>
              </w:rPr>
            </w:pPr>
          </w:p>
        </w:tc>
        <w:tc>
          <w:tcPr>
            <w:tcW w:w="620" w:type="dxa"/>
            <w:vAlign w:val="bottom"/>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7"/>
              </w:rPr>
              <w:t>Date</w:t>
            </w:r>
          </w:p>
        </w:tc>
        <w:tc>
          <w:tcPr>
            <w:tcW w:w="20" w:type="dxa"/>
            <w:vAlign w:val="bottom"/>
          </w:tcPr>
          <w:p>
            <w:pPr>
              <w:spacing w:after="0"/>
              <w:rPr>
                <w:sz w:val="16"/>
                <w:szCs w:val="16"/>
                <w:color w:val="auto"/>
              </w:rPr>
            </w:pPr>
          </w:p>
        </w:tc>
        <w:tc>
          <w:tcPr>
            <w:tcW w:w="680" w:type="dxa"/>
            <w:vAlign w:val="bottom"/>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9"/>
              </w:rPr>
              <w:t>Claimed</w:t>
            </w:r>
          </w:p>
        </w:tc>
        <w:tc>
          <w:tcPr>
            <w:tcW w:w="20" w:type="dxa"/>
            <w:vAlign w:val="bottom"/>
          </w:tcPr>
          <w:p>
            <w:pPr>
              <w:spacing w:after="0"/>
              <w:rPr>
                <w:sz w:val="16"/>
                <w:szCs w:val="16"/>
                <w:color w:val="auto"/>
              </w:rPr>
            </w:pPr>
          </w:p>
        </w:tc>
        <w:tc>
          <w:tcPr>
            <w:tcW w:w="940" w:type="dxa"/>
            <w:vAlign w:val="bottom"/>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6"/>
              </w:rPr>
              <w:t>with Fee</w:t>
            </w:r>
          </w:p>
        </w:tc>
        <w:tc>
          <w:tcPr>
            <w:tcW w:w="20" w:type="dxa"/>
            <w:vAlign w:val="bottom"/>
          </w:tcPr>
          <w:p>
            <w:pPr>
              <w:spacing w:after="0"/>
              <w:rPr>
                <w:sz w:val="16"/>
                <w:szCs w:val="16"/>
                <w:color w:val="auto"/>
              </w:rPr>
            </w:pPr>
          </w:p>
        </w:tc>
        <w:tc>
          <w:tcPr>
            <w:tcW w:w="920" w:type="dxa"/>
            <w:vAlign w:val="bottom"/>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9"/>
              </w:rPr>
              <w:t>with Fee</w:t>
            </w:r>
          </w:p>
        </w:tc>
        <w:tc>
          <w:tcPr>
            <w:tcW w:w="20" w:type="dxa"/>
            <w:vAlign w:val="bottom"/>
          </w:tcPr>
          <w:p>
            <w:pPr>
              <w:spacing w:after="0"/>
              <w:rPr>
                <w:sz w:val="16"/>
                <w:szCs w:val="16"/>
                <w:color w:val="auto"/>
              </w:rPr>
            </w:pPr>
          </w:p>
        </w:tc>
        <w:tc>
          <w:tcPr>
            <w:tcW w:w="920" w:type="dxa"/>
            <w:vAlign w:val="bottom"/>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9"/>
              </w:rPr>
              <w:t>with Fee</w:t>
            </w:r>
          </w:p>
        </w:tc>
        <w:tc>
          <w:tcPr>
            <w:tcW w:w="20" w:type="dxa"/>
            <w:vAlign w:val="bottom"/>
          </w:tcPr>
          <w:p>
            <w:pPr>
              <w:spacing w:after="0"/>
              <w:rPr>
                <w:sz w:val="16"/>
                <w:szCs w:val="16"/>
                <w:color w:val="auto"/>
              </w:rPr>
            </w:pPr>
          </w:p>
        </w:tc>
        <w:tc>
          <w:tcPr>
            <w:tcW w:w="980" w:type="dxa"/>
            <w:vAlign w:val="bottom"/>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9"/>
              </w:rPr>
              <w:t>Associated</w:t>
            </w:r>
          </w:p>
        </w:tc>
        <w:tc>
          <w:tcPr>
            <w:tcW w:w="20" w:type="dxa"/>
            <w:vAlign w:val="bottom"/>
          </w:tcPr>
          <w:p>
            <w:pPr>
              <w:spacing w:after="0"/>
              <w:rPr>
                <w:sz w:val="16"/>
                <w:szCs w:val="16"/>
                <w:color w:val="auto"/>
              </w:rPr>
            </w:pPr>
          </w:p>
        </w:tc>
        <w:tc>
          <w:tcPr>
            <w:tcW w:w="660" w:type="dxa"/>
            <w:vAlign w:val="bottom"/>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rPr>
              <w:t>Fee</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15"/>
        </w:trPr>
        <w:tc>
          <w:tcPr>
            <w:tcW w:w="40" w:type="dxa"/>
            <w:vAlign w:val="bottom"/>
          </w:tcPr>
          <w:p>
            <w:pPr>
              <w:spacing w:after="0"/>
              <w:rPr>
                <w:sz w:val="10"/>
                <w:szCs w:val="10"/>
                <w:color w:val="auto"/>
              </w:rPr>
            </w:pPr>
          </w:p>
        </w:tc>
        <w:tc>
          <w:tcPr>
            <w:tcW w:w="980" w:type="dxa"/>
            <w:vAlign w:val="bottom"/>
            <w:shd w:val="clear" w:color="auto" w:fill="9ADAF6"/>
          </w:tcPr>
          <w:p>
            <w:pPr>
              <w:spacing w:after="0"/>
              <w:rPr>
                <w:sz w:val="10"/>
                <w:szCs w:val="10"/>
                <w:color w:val="auto"/>
              </w:rPr>
            </w:pPr>
          </w:p>
        </w:tc>
        <w:tc>
          <w:tcPr>
            <w:tcW w:w="20" w:type="dxa"/>
            <w:vAlign w:val="bottom"/>
          </w:tcPr>
          <w:p>
            <w:pPr>
              <w:spacing w:after="0"/>
              <w:rPr>
                <w:sz w:val="10"/>
                <w:szCs w:val="10"/>
                <w:color w:val="auto"/>
              </w:rPr>
            </w:pPr>
          </w:p>
        </w:tc>
        <w:tc>
          <w:tcPr>
            <w:tcW w:w="700" w:type="dxa"/>
            <w:vAlign w:val="bottom"/>
            <w:shd w:val="clear" w:color="auto" w:fill="9ADAF6"/>
          </w:tcPr>
          <w:p>
            <w:pPr>
              <w:spacing w:after="0"/>
              <w:rPr>
                <w:sz w:val="10"/>
                <w:szCs w:val="10"/>
                <w:color w:val="auto"/>
              </w:rPr>
            </w:pPr>
          </w:p>
        </w:tc>
        <w:tc>
          <w:tcPr>
            <w:tcW w:w="20" w:type="dxa"/>
            <w:vAlign w:val="bottom"/>
          </w:tcPr>
          <w:p>
            <w:pPr>
              <w:spacing w:after="0"/>
              <w:rPr>
                <w:sz w:val="10"/>
                <w:szCs w:val="10"/>
                <w:color w:val="auto"/>
              </w:rPr>
            </w:pPr>
          </w:p>
        </w:tc>
        <w:tc>
          <w:tcPr>
            <w:tcW w:w="1580" w:type="dxa"/>
            <w:vAlign w:val="bottom"/>
            <w:shd w:val="clear" w:color="auto" w:fill="9ADAF6"/>
          </w:tcPr>
          <w:p>
            <w:pPr>
              <w:spacing w:after="0"/>
              <w:rPr>
                <w:sz w:val="10"/>
                <w:szCs w:val="10"/>
                <w:color w:val="auto"/>
              </w:rPr>
            </w:pPr>
          </w:p>
        </w:tc>
        <w:tc>
          <w:tcPr>
            <w:tcW w:w="20" w:type="dxa"/>
            <w:vAlign w:val="bottom"/>
          </w:tcPr>
          <w:p>
            <w:pPr>
              <w:spacing w:after="0"/>
              <w:rPr>
                <w:sz w:val="10"/>
                <w:szCs w:val="10"/>
                <w:color w:val="auto"/>
              </w:rPr>
            </w:pPr>
          </w:p>
        </w:tc>
        <w:tc>
          <w:tcPr>
            <w:tcW w:w="620" w:type="dxa"/>
            <w:vAlign w:val="bottom"/>
            <w:shd w:val="clear" w:color="auto" w:fill="9ADAF6"/>
          </w:tcPr>
          <w:p>
            <w:pPr>
              <w:jc w:val="center"/>
              <w:spacing w:after="0" w:line="116" w:lineRule="exact"/>
              <w:rPr>
                <w:sz w:val="20"/>
                <w:szCs w:val="20"/>
                <w:color w:val="auto"/>
              </w:rPr>
            </w:pPr>
            <w:r>
              <w:rPr>
                <w:rFonts w:ascii="Arial" w:cs="Arial" w:eastAsia="Arial" w:hAnsi="Arial"/>
                <w:sz w:val="13"/>
                <w:szCs w:val="13"/>
                <w:b w:val="1"/>
                <w:bCs w:val="1"/>
                <w:color w:val="auto"/>
              </w:rPr>
              <w:t>Type</w:t>
            </w:r>
          </w:p>
        </w:tc>
        <w:tc>
          <w:tcPr>
            <w:tcW w:w="20" w:type="dxa"/>
            <w:vAlign w:val="bottom"/>
          </w:tcPr>
          <w:p>
            <w:pPr>
              <w:spacing w:after="0"/>
              <w:rPr>
                <w:sz w:val="10"/>
                <w:szCs w:val="10"/>
                <w:color w:val="auto"/>
              </w:rPr>
            </w:pPr>
          </w:p>
        </w:tc>
        <w:tc>
          <w:tcPr>
            <w:tcW w:w="740" w:type="dxa"/>
            <w:vAlign w:val="bottom"/>
            <w:shd w:val="clear" w:color="auto" w:fill="9ADAF6"/>
          </w:tcPr>
          <w:p>
            <w:pPr>
              <w:spacing w:after="0"/>
              <w:rPr>
                <w:sz w:val="10"/>
                <w:szCs w:val="10"/>
                <w:color w:val="auto"/>
              </w:rPr>
            </w:pPr>
          </w:p>
        </w:tc>
        <w:tc>
          <w:tcPr>
            <w:tcW w:w="20" w:type="dxa"/>
            <w:vAlign w:val="bottom"/>
          </w:tcPr>
          <w:p>
            <w:pPr>
              <w:spacing w:after="0"/>
              <w:rPr>
                <w:sz w:val="10"/>
                <w:szCs w:val="10"/>
                <w:color w:val="auto"/>
              </w:rPr>
            </w:pPr>
          </w:p>
        </w:tc>
        <w:tc>
          <w:tcPr>
            <w:tcW w:w="620" w:type="dxa"/>
            <w:vAlign w:val="bottom"/>
            <w:shd w:val="clear" w:color="auto" w:fill="9ADAF6"/>
          </w:tcPr>
          <w:p>
            <w:pPr>
              <w:spacing w:after="0"/>
              <w:rPr>
                <w:sz w:val="10"/>
                <w:szCs w:val="10"/>
                <w:color w:val="auto"/>
              </w:rPr>
            </w:pPr>
          </w:p>
        </w:tc>
        <w:tc>
          <w:tcPr>
            <w:tcW w:w="20" w:type="dxa"/>
            <w:vAlign w:val="bottom"/>
          </w:tcPr>
          <w:p>
            <w:pPr>
              <w:spacing w:after="0"/>
              <w:rPr>
                <w:sz w:val="10"/>
                <w:szCs w:val="10"/>
                <w:color w:val="auto"/>
              </w:rPr>
            </w:pPr>
          </w:p>
        </w:tc>
        <w:tc>
          <w:tcPr>
            <w:tcW w:w="620" w:type="dxa"/>
            <w:vAlign w:val="bottom"/>
            <w:shd w:val="clear" w:color="auto" w:fill="9ADAF6"/>
          </w:tcPr>
          <w:p>
            <w:pPr>
              <w:spacing w:after="0"/>
              <w:rPr>
                <w:sz w:val="10"/>
                <w:szCs w:val="10"/>
                <w:color w:val="auto"/>
              </w:rPr>
            </w:pPr>
          </w:p>
        </w:tc>
        <w:tc>
          <w:tcPr>
            <w:tcW w:w="20" w:type="dxa"/>
            <w:vAlign w:val="bottom"/>
          </w:tcPr>
          <w:p>
            <w:pPr>
              <w:spacing w:after="0"/>
              <w:rPr>
                <w:sz w:val="10"/>
                <w:szCs w:val="10"/>
                <w:color w:val="auto"/>
              </w:rPr>
            </w:pPr>
          </w:p>
        </w:tc>
        <w:tc>
          <w:tcPr>
            <w:tcW w:w="680" w:type="dxa"/>
            <w:vAlign w:val="bottom"/>
            <w:shd w:val="clear" w:color="auto" w:fill="9ADAF6"/>
          </w:tcPr>
          <w:p>
            <w:pPr>
              <w:spacing w:after="0"/>
              <w:rPr>
                <w:sz w:val="10"/>
                <w:szCs w:val="10"/>
                <w:color w:val="auto"/>
              </w:rPr>
            </w:pPr>
          </w:p>
        </w:tc>
        <w:tc>
          <w:tcPr>
            <w:tcW w:w="20" w:type="dxa"/>
            <w:vAlign w:val="bottom"/>
          </w:tcPr>
          <w:p>
            <w:pPr>
              <w:spacing w:after="0"/>
              <w:rPr>
                <w:sz w:val="10"/>
                <w:szCs w:val="10"/>
                <w:color w:val="auto"/>
              </w:rPr>
            </w:pPr>
          </w:p>
        </w:tc>
        <w:tc>
          <w:tcPr>
            <w:tcW w:w="940" w:type="dxa"/>
            <w:vAlign w:val="bottom"/>
            <w:shd w:val="clear" w:color="auto" w:fill="9ADAF6"/>
          </w:tcPr>
          <w:p>
            <w:pPr>
              <w:jc w:val="center"/>
              <w:spacing w:after="0" w:line="116" w:lineRule="exact"/>
              <w:rPr>
                <w:sz w:val="20"/>
                <w:szCs w:val="20"/>
                <w:color w:val="auto"/>
              </w:rPr>
            </w:pPr>
            <w:r>
              <w:rPr>
                <w:rFonts w:ascii="Arial" w:cs="Arial" w:eastAsia="Arial" w:hAnsi="Arial"/>
                <w:sz w:val="13"/>
                <w:szCs w:val="13"/>
                <w:b w:val="1"/>
                <w:bCs w:val="1"/>
                <w:color w:val="auto"/>
              </w:rPr>
              <w:t>Offset</w:t>
            </w:r>
          </w:p>
        </w:tc>
        <w:tc>
          <w:tcPr>
            <w:tcW w:w="20" w:type="dxa"/>
            <w:vAlign w:val="bottom"/>
          </w:tcPr>
          <w:p>
            <w:pPr>
              <w:spacing w:after="0"/>
              <w:rPr>
                <w:sz w:val="10"/>
                <w:szCs w:val="10"/>
                <w:color w:val="auto"/>
              </w:rPr>
            </w:pPr>
          </w:p>
        </w:tc>
        <w:tc>
          <w:tcPr>
            <w:tcW w:w="920" w:type="dxa"/>
            <w:vAlign w:val="bottom"/>
            <w:shd w:val="clear" w:color="auto" w:fill="9ADAF6"/>
          </w:tcPr>
          <w:p>
            <w:pPr>
              <w:jc w:val="center"/>
              <w:spacing w:after="0" w:line="116" w:lineRule="exact"/>
              <w:rPr>
                <w:sz w:val="20"/>
                <w:szCs w:val="20"/>
                <w:color w:val="auto"/>
              </w:rPr>
            </w:pPr>
            <w:r>
              <w:rPr>
                <w:rFonts w:ascii="Arial" w:cs="Arial" w:eastAsia="Arial" w:hAnsi="Arial"/>
                <w:sz w:val="13"/>
                <w:szCs w:val="13"/>
                <w:b w:val="1"/>
                <w:bCs w:val="1"/>
                <w:color w:val="auto"/>
              </w:rPr>
              <w:t>Offset</w:t>
            </w:r>
          </w:p>
        </w:tc>
        <w:tc>
          <w:tcPr>
            <w:tcW w:w="20" w:type="dxa"/>
            <w:vAlign w:val="bottom"/>
          </w:tcPr>
          <w:p>
            <w:pPr>
              <w:spacing w:after="0"/>
              <w:rPr>
                <w:sz w:val="10"/>
                <w:szCs w:val="10"/>
                <w:color w:val="auto"/>
              </w:rPr>
            </w:pPr>
          </w:p>
        </w:tc>
        <w:tc>
          <w:tcPr>
            <w:tcW w:w="920" w:type="dxa"/>
            <w:vAlign w:val="bottom"/>
            <w:shd w:val="clear" w:color="auto" w:fill="9ADAF6"/>
          </w:tcPr>
          <w:p>
            <w:pPr>
              <w:jc w:val="center"/>
              <w:spacing w:after="0" w:line="116" w:lineRule="exact"/>
              <w:rPr>
                <w:sz w:val="20"/>
                <w:szCs w:val="20"/>
                <w:color w:val="auto"/>
              </w:rPr>
            </w:pPr>
            <w:r>
              <w:rPr>
                <w:rFonts w:ascii="Arial" w:cs="Arial" w:eastAsia="Arial" w:hAnsi="Arial"/>
                <w:sz w:val="13"/>
                <w:szCs w:val="13"/>
                <w:b w:val="1"/>
                <w:bCs w:val="1"/>
                <w:color w:val="auto"/>
              </w:rPr>
              <w:t>Offset</w:t>
            </w:r>
          </w:p>
        </w:tc>
        <w:tc>
          <w:tcPr>
            <w:tcW w:w="20" w:type="dxa"/>
            <w:vAlign w:val="bottom"/>
          </w:tcPr>
          <w:p>
            <w:pPr>
              <w:spacing w:after="0"/>
              <w:rPr>
                <w:sz w:val="10"/>
                <w:szCs w:val="10"/>
                <w:color w:val="auto"/>
              </w:rPr>
            </w:pPr>
          </w:p>
        </w:tc>
        <w:tc>
          <w:tcPr>
            <w:tcW w:w="980" w:type="dxa"/>
            <w:vAlign w:val="bottom"/>
            <w:shd w:val="clear" w:color="auto" w:fill="9ADAF6"/>
          </w:tcPr>
          <w:p>
            <w:pPr>
              <w:jc w:val="center"/>
              <w:spacing w:after="0" w:line="116" w:lineRule="exact"/>
              <w:rPr>
                <w:sz w:val="20"/>
                <w:szCs w:val="20"/>
                <w:color w:val="auto"/>
              </w:rPr>
            </w:pPr>
            <w:r>
              <w:rPr>
                <w:rFonts w:ascii="Arial" w:cs="Arial" w:eastAsia="Arial" w:hAnsi="Arial"/>
                <w:sz w:val="13"/>
                <w:szCs w:val="13"/>
                <w:b w:val="1"/>
                <w:bCs w:val="1"/>
                <w:color w:val="auto"/>
              </w:rPr>
              <w:t>with Fee</w:t>
            </w:r>
          </w:p>
        </w:tc>
        <w:tc>
          <w:tcPr>
            <w:tcW w:w="20" w:type="dxa"/>
            <w:vAlign w:val="bottom"/>
          </w:tcPr>
          <w:p>
            <w:pPr>
              <w:spacing w:after="0"/>
              <w:rPr>
                <w:sz w:val="10"/>
                <w:szCs w:val="10"/>
                <w:color w:val="auto"/>
              </w:rPr>
            </w:pPr>
          </w:p>
        </w:tc>
        <w:tc>
          <w:tcPr>
            <w:tcW w:w="660" w:type="dxa"/>
            <w:vAlign w:val="bottom"/>
            <w:shd w:val="clear" w:color="auto" w:fill="9ADAF6"/>
          </w:tcPr>
          <w:p>
            <w:pPr>
              <w:jc w:val="center"/>
              <w:spacing w:after="0" w:line="116" w:lineRule="exact"/>
              <w:rPr>
                <w:sz w:val="20"/>
                <w:szCs w:val="20"/>
                <w:color w:val="auto"/>
              </w:rPr>
            </w:pPr>
            <w:r>
              <w:rPr>
                <w:rFonts w:ascii="Arial" w:cs="Arial" w:eastAsia="Arial" w:hAnsi="Arial"/>
                <w:sz w:val="13"/>
                <w:szCs w:val="13"/>
                <w:b w:val="1"/>
                <w:bCs w:val="1"/>
                <w:color w:val="auto"/>
              </w:rPr>
              <w:t>Offset</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9"/>
        </w:trPr>
        <w:tc>
          <w:tcPr>
            <w:tcW w:w="40" w:type="dxa"/>
            <w:vAlign w:val="bottom"/>
          </w:tcPr>
          <w:p>
            <w:pPr>
              <w:spacing w:after="0"/>
              <w:rPr>
                <w:sz w:val="16"/>
                <w:szCs w:val="16"/>
                <w:color w:val="auto"/>
              </w:rPr>
            </w:pPr>
          </w:p>
        </w:tc>
        <w:tc>
          <w:tcPr>
            <w:tcW w:w="9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5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4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40" w:type="dxa"/>
            <w:vAlign w:val="bottom"/>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9"/>
              </w:rPr>
              <w:t>Claimed</w:t>
            </w:r>
          </w:p>
        </w:tc>
        <w:tc>
          <w:tcPr>
            <w:tcW w:w="20" w:type="dxa"/>
            <w:vAlign w:val="bottom"/>
          </w:tcPr>
          <w:p>
            <w:pPr>
              <w:spacing w:after="0"/>
              <w:rPr>
                <w:sz w:val="16"/>
                <w:szCs w:val="16"/>
                <w:color w:val="auto"/>
              </w:rPr>
            </w:pPr>
          </w:p>
        </w:tc>
        <w:tc>
          <w:tcPr>
            <w:tcW w:w="920" w:type="dxa"/>
            <w:vAlign w:val="bottom"/>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9"/>
              </w:rPr>
              <w:t>Claimed</w:t>
            </w:r>
          </w:p>
        </w:tc>
        <w:tc>
          <w:tcPr>
            <w:tcW w:w="20" w:type="dxa"/>
            <w:vAlign w:val="bottom"/>
          </w:tcPr>
          <w:p>
            <w:pPr>
              <w:spacing w:after="0"/>
              <w:rPr>
                <w:sz w:val="16"/>
                <w:szCs w:val="16"/>
                <w:color w:val="auto"/>
              </w:rPr>
            </w:pPr>
          </w:p>
        </w:tc>
        <w:tc>
          <w:tcPr>
            <w:tcW w:w="920" w:type="dxa"/>
            <w:vAlign w:val="bottom"/>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6"/>
              </w:rPr>
              <w:t>Claimed</w:t>
            </w:r>
          </w:p>
        </w:tc>
        <w:tc>
          <w:tcPr>
            <w:tcW w:w="20" w:type="dxa"/>
            <w:vAlign w:val="bottom"/>
          </w:tcPr>
          <w:p>
            <w:pPr>
              <w:spacing w:after="0"/>
              <w:rPr>
                <w:sz w:val="16"/>
                <w:szCs w:val="16"/>
                <w:color w:val="auto"/>
              </w:rPr>
            </w:pPr>
          </w:p>
        </w:tc>
        <w:tc>
          <w:tcPr>
            <w:tcW w:w="980" w:type="dxa"/>
            <w:vAlign w:val="bottom"/>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rPr>
              <w:t>Offset</w:t>
            </w:r>
          </w:p>
        </w:tc>
        <w:tc>
          <w:tcPr>
            <w:tcW w:w="20" w:type="dxa"/>
            <w:vAlign w:val="bottom"/>
          </w:tcPr>
          <w:p>
            <w:pPr>
              <w:spacing w:after="0"/>
              <w:rPr>
                <w:sz w:val="16"/>
                <w:szCs w:val="16"/>
                <w:color w:val="auto"/>
              </w:rPr>
            </w:pPr>
          </w:p>
        </w:tc>
        <w:tc>
          <w:tcPr>
            <w:tcW w:w="660" w:type="dxa"/>
            <w:vAlign w:val="bottom"/>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rPr>
              <w:t>Source</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1"/>
        </w:trPr>
        <w:tc>
          <w:tcPr>
            <w:tcW w:w="40" w:type="dxa"/>
            <w:vAlign w:val="bottom"/>
          </w:tcPr>
          <w:p>
            <w:pPr>
              <w:spacing w:after="0"/>
              <w:rPr>
                <w:sz w:val="19"/>
                <w:szCs w:val="19"/>
                <w:color w:val="auto"/>
              </w:rPr>
            </w:pPr>
          </w:p>
        </w:tc>
        <w:tc>
          <w:tcPr>
            <w:tcW w:w="98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70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158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62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74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62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62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68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94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92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92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980" w:type="dxa"/>
            <w:vAlign w:val="bottom"/>
            <w:shd w:val="clear" w:color="auto" w:fill="9ADAF6"/>
          </w:tcPr>
          <w:p>
            <w:pPr>
              <w:jc w:val="center"/>
              <w:spacing w:after="0"/>
              <w:rPr>
                <w:sz w:val="20"/>
                <w:szCs w:val="20"/>
                <w:color w:val="auto"/>
              </w:rPr>
            </w:pPr>
            <w:r>
              <w:rPr>
                <w:rFonts w:ascii="Arial" w:cs="Arial" w:eastAsia="Arial" w:hAnsi="Arial"/>
                <w:sz w:val="17"/>
                <w:szCs w:val="17"/>
                <w:b w:val="1"/>
                <w:bCs w:val="1"/>
                <w:color w:val="auto"/>
                <w:w w:val="99"/>
              </w:rPr>
              <w:t>Claimed</w:t>
            </w:r>
          </w:p>
        </w:tc>
        <w:tc>
          <w:tcPr>
            <w:tcW w:w="20" w:type="dxa"/>
            <w:vAlign w:val="bottom"/>
          </w:tcPr>
          <w:p>
            <w:pPr>
              <w:spacing w:after="0"/>
              <w:rPr>
                <w:sz w:val="19"/>
                <w:szCs w:val="19"/>
                <w:color w:val="auto"/>
              </w:rPr>
            </w:pPr>
          </w:p>
        </w:tc>
        <w:tc>
          <w:tcPr>
            <w:tcW w:w="660" w:type="dxa"/>
            <w:vAlign w:val="bottom"/>
            <w:shd w:val="clear" w:color="auto" w:fill="9ADAF6"/>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7155815</wp:posOffset>
            </wp:positionH>
            <wp:positionV relativeFrom="paragraph">
              <wp:posOffset>-996315</wp:posOffset>
            </wp:positionV>
            <wp:extent cx="12700" cy="20618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18">
                      <a:extLst>
                        <a:ext uri="{28A0092B-C50C-407E-A947-70E740481C1C}"/>
                      </a:extLst>
                    </a:blip>
                    <a:srcRect/>
                    <a:stretch>
                      <a:fillRect/>
                    </a:stretch>
                  </pic:blipFill>
                  <pic:spPr bwMode="auto">
                    <a:xfrm>
                      <a:off x="0" y="0"/>
                      <a:ext cx="12700" cy="206184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-996315</wp:posOffset>
            </wp:positionV>
            <wp:extent cx="12700" cy="20618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19">
                      <a:extLst>
                        <a:ext uri="{28A0092B-C50C-407E-A947-70E740481C1C}"/>
                      </a:extLst>
                    </a:blip>
                    <a:srcRect/>
                    <a:stretch>
                      <a:fillRect/>
                    </a:stretch>
                  </pic:blipFill>
                  <pic:spPr bwMode="auto">
                    <a:xfrm>
                      <a:off x="0" y="0"/>
                      <a:ext cx="12700" cy="2061845"/>
                    </a:xfrm>
                    <a:prstGeom prst="rect">
                      <a:avLst/>
                    </a:prstGeom>
                    <a:noFill/>
                  </pic:spPr>
                </pic:pic>
              </a:graphicData>
            </a:graphic>
          </wp:anchor>
        </w:drawing>
      </w:r>
    </w:p>
    <w:p>
      <w:pPr>
        <w:jc w:val="center"/>
        <w:ind w:right="80"/>
        <w:spacing w:after="0"/>
        <w:rPr>
          <w:sz w:val="20"/>
          <w:szCs w:val="20"/>
          <w:color w:val="auto"/>
        </w:rPr>
      </w:pPr>
      <w:r>
        <w:rPr>
          <w:rFonts w:ascii="Arial" w:cs="Arial" w:eastAsia="Arial" w:hAnsi="Arial"/>
          <w:sz w:val="17"/>
          <w:szCs w:val="17"/>
          <w:b w:val="1"/>
          <w:bCs w:val="1"/>
          <w:color w:val="auto"/>
        </w:rPr>
        <w:t>Rules 457(b) and 0-11(a)(2)</w:t>
      </w:r>
    </w:p>
    <w:p>
      <w:pPr>
        <w:spacing w:after="0" w:line="36" w:lineRule="exact"/>
        <w:rPr>
          <w:sz w:val="20"/>
          <w:szCs w:val="20"/>
          <w:color w:val="auto"/>
        </w:rPr>
      </w:pPr>
    </w:p>
    <w:p>
      <w:pPr>
        <w:ind w:left="40"/>
        <w:spacing w:after="0"/>
        <w:rPr>
          <w:sz w:val="20"/>
          <w:szCs w:val="20"/>
          <w:color w:val="auto"/>
        </w:rPr>
      </w:pPr>
      <w:r>
        <w:rPr>
          <w:rFonts w:ascii="Arial" w:cs="Arial" w:eastAsia="Arial" w:hAnsi="Arial"/>
          <w:sz w:val="17"/>
          <w:szCs w:val="17"/>
          <w:color w:val="auto"/>
        </w:rPr>
        <w:t>Fee Offset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wp:posOffset>
            </wp:positionH>
            <wp:positionV relativeFrom="paragraph">
              <wp:posOffset>-116840</wp:posOffset>
            </wp:positionV>
            <wp:extent cx="7109460" cy="25336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20">
                      <a:extLst>
                        <a:ext uri="{28A0092B-C50C-407E-A947-70E740481C1C}"/>
                      </a:extLst>
                    </a:blip>
                    <a:srcRect/>
                    <a:stretch>
                      <a:fillRect/>
                    </a:stretch>
                  </pic:blipFill>
                  <pic:spPr bwMode="auto">
                    <a:xfrm>
                      <a:off x="0" y="0"/>
                      <a:ext cx="7109460" cy="253365"/>
                    </a:xfrm>
                    <a:prstGeom prst="rect">
                      <a:avLst/>
                    </a:prstGeom>
                    <a:noFill/>
                  </pic:spPr>
                </pic:pic>
              </a:graphicData>
            </a:graphic>
          </wp:anchor>
        </w:drawing>
      </w:r>
    </w:p>
    <w:p>
      <w:pPr>
        <w:ind w:left="40"/>
        <w:spacing w:after="0"/>
        <w:rPr>
          <w:sz w:val="20"/>
          <w:szCs w:val="20"/>
          <w:color w:val="auto"/>
        </w:rPr>
      </w:pPr>
      <w:r>
        <w:rPr>
          <w:rFonts w:ascii="Arial" w:cs="Arial" w:eastAsia="Arial" w:hAnsi="Arial"/>
          <w:sz w:val="17"/>
          <w:szCs w:val="17"/>
          <w:color w:val="auto"/>
        </w:rPr>
        <w:t>Claims</w:t>
      </w:r>
    </w:p>
    <w:p>
      <w:pPr>
        <w:spacing w:after="0" w:line="20" w:lineRule="exact"/>
        <w:rPr>
          <w:sz w:val="20"/>
          <w:szCs w:val="20"/>
          <w:color w:val="auto"/>
        </w:rPr>
      </w:pPr>
    </w:p>
    <w:p>
      <w:pPr>
        <w:ind w:left="40"/>
        <w:spacing w:after="0"/>
        <w:rPr>
          <w:sz w:val="20"/>
          <w:szCs w:val="20"/>
          <w:color w:val="auto"/>
        </w:rPr>
      </w:pPr>
      <w:r>
        <w:rPr>
          <w:rFonts w:ascii="Arial" w:cs="Arial" w:eastAsia="Arial" w:hAnsi="Arial"/>
          <w:sz w:val="17"/>
          <w:szCs w:val="17"/>
          <w:color w:val="auto"/>
        </w:rPr>
        <w:t>Fee Offset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wp:posOffset>
            </wp:positionH>
            <wp:positionV relativeFrom="paragraph">
              <wp:posOffset>-116840</wp:posOffset>
            </wp:positionV>
            <wp:extent cx="7109460" cy="25336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21">
                      <a:extLst>
                        <a:ext uri="{28A0092B-C50C-407E-A947-70E740481C1C}"/>
                      </a:extLst>
                    </a:blip>
                    <a:srcRect/>
                    <a:stretch>
                      <a:fillRect/>
                    </a:stretch>
                  </pic:blipFill>
                  <pic:spPr bwMode="auto">
                    <a:xfrm>
                      <a:off x="0" y="0"/>
                      <a:ext cx="7109460" cy="253365"/>
                    </a:xfrm>
                    <a:prstGeom prst="rect">
                      <a:avLst/>
                    </a:prstGeom>
                    <a:noFill/>
                  </pic:spPr>
                </pic:pic>
              </a:graphicData>
            </a:graphic>
          </wp:anchor>
        </w:drawing>
      </w:r>
    </w:p>
    <w:p>
      <w:pPr>
        <w:ind w:left="40"/>
        <w:spacing w:after="0"/>
        <w:rPr>
          <w:sz w:val="20"/>
          <w:szCs w:val="20"/>
          <w:color w:val="auto"/>
        </w:rPr>
      </w:pPr>
      <w:r>
        <w:rPr>
          <w:rFonts w:ascii="Arial" w:cs="Arial" w:eastAsia="Arial" w:hAnsi="Arial"/>
          <w:sz w:val="17"/>
          <w:szCs w:val="17"/>
          <w:color w:val="auto"/>
        </w:rPr>
        <w:t>Sources</w:t>
      </w:r>
    </w:p>
    <w:p>
      <w:pPr>
        <w:spacing w:after="0" w:line="20" w:lineRule="exact"/>
        <w:rPr>
          <w:sz w:val="20"/>
          <w:szCs w:val="20"/>
          <w:color w:val="auto"/>
        </w:rPr>
      </w:pPr>
    </w:p>
    <w:p>
      <w:pPr>
        <w:jc w:val="center"/>
        <w:ind w:right="80"/>
        <w:spacing w:after="0"/>
        <w:rPr>
          <w:sz w:val="20"/>
          <w:szCs w:val="20"/>
          <w:color w:val="auto"/>
        </w:rPr>
      </w:pPr>
      <w:r>
        <w:rPr>
          <w:rFonts w:ascii="Arial" w:cs="Arial" w:eastAsia="Arial" w:hAnsi="Arial"/>
          <w:sz w:val="17"/>
          <w:szCs w:val="17"/>
          <w:b w:val="1"/>
          <w:bCs w:val="1"/>
          <w:color w:val="auto"/>
        </w:rPr>
        <w:t>Rule 457(p)</w:t>
      </w:r>
    </w:p>
    <w:p>
      <w:pPr>
        <w:spacing w:after="0" w:line="36" w:lineRule="exact"/>
        <w:rPr>
          <w:sz w:val="20"/>
          <w:szCs w:val="20"/>
          <w:color w:val="auto"/>
        </w:rPr>
      </w:pPr>
    </w:p>
    <w:p>
      <w:pPr>
        <w:ind w:left="40"/>
        <w:spacing w:after="0"/>
        <w:rPr>
          <w:sz w:val="20"/>
          <w:szCs w:val="20"/>
          <w:color w:val="auto"/>
        </w:rPr>
      </w:pPr>
      <w:r>
        <w:rPr>
          <w:rFonts w:ascii="Arial" w:cs="Arial" w:eastAsia="Arial" w:hAnsi="Arial"/>
          <w:sz w:val="17"/>
          <w:szCs w:val="17"/>
          <w:color w:val="auto"/>
        </w:rPr>
        <w:t>Fee Offset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wp:posOffset>
            </wp:positionH>
            <wp:positionV relativeFrom="paragraph">
              <wp:posOffset>-116840</wp:posOffset>
            </wp:positionV>
            <wp:extent cx="7109460" cy="2247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22">
                      <a:extLst>
                        <a:ext uri="{28A0092B-C50C-407E-A947-70E740481C1C}"/>
                      </a:extLst>
                    </a:blip>
                    <a:srcRect/>
                    <a:stretch>
                      <a:fillRect/>
                    </a:stretch>
                  </pic:blipFill>
                  <pic:spPr bwMode="auto">
                    <a:xfrm>
                      <a:off x="0" y="0"/>
                      <a:ext cx="7109460" cy="224790"/>
                    </a:xfrm>
                    <a:prstGeom prst="rect">
                      <a:avLst/>
                    </a:prstGeom>
                    <a:noFill/>
                  </pic:spPr>
                </pic:pic>
              </a:graphicData>
            </a:graphic>
          </wp:anchor>
        </w:drawing>
      </w:r>
    </w:p>
    <w:p>
      <w:pPr>
        <w:sectPr>
          <w:pgSz w:w="11900" w:h="16838" w:orient="portrait"/>
          <w:cols w:equalWidth="0" w:num="1">
            <w:col w:w="11360"/>
          </w:cols>
          <w:pgMar w:left="300" w:top="142" w:right="239" w:bottom="0" w:gutter="0" w:footer="0" w:header="0"/>
        </w:sectPr>
      </w:pPr>
    </w:p>
    <w:bookmarkStart w:id="75" w:name="page76"/>
    <w:bookmarkEnd w:id="75"/>
    <w:p>
      <w:pPr>
        <w:ind w:left="40"/>
        <w:spacing w:after="0"/>
        <w:rPr>
          <w:sz w:val="20"/>
          <w:szCs w:val="20"/>
          <w:color w:val="auto"/>
        </w:rPr>
      </w:pPr>
      <w:r>
        <w:rPr>
          <w:rFonts w:ascii="Arial" w:cs="Arial" w:eastAsia="Arial" w:hAnsi="Arial"/>
          <w:sz w:val="17"/>
          <w:szCs w:val="17"/>
          <w:color w:val="auto"/>
        </w:rPr>
        <w:t>Claims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-110490</wp:posOffset>
            </wp:positionV>
            <wp:extent cx="7168515" cy="41656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23">
                      <a:extLst>
                        <a:ext uri="{28A0092B-C50C-407E-A947-70E740481C1C}"/>
                      </a:extLst>
                    </a:blip>
                    <a:srcRect/>
                    <a:stretch>
                      <a:fillRect/>
                    </a:stretch>
                  </pic:blipFill>
                  <pic:spPr bwMode="auto">
                    <a:xfrm>
                      <a:off x="0" y="0"/>
                      <a:ext cx="7168515" cy="416560"/>
                    </a:xfrm>
                    <a:prstGeom prst="rect">
                      <a:avLst/>
                    </a:prstGeom>
                    <a:noFill/>
                  </pic:spPr>
                </pic:pic>
              </a:graphicData>
            </a:graphic>
          </wp:anchor>
        </w:drawing>
      </w:r>
    </w:p>
    <w:p>
      <w:pPr>
        <w:spacing w:after="0" w:line="15" w:lineRule="exact"/>
        <w:rPr>
          <w:sz w:val="20"/>
          <w:szCs w:val="20"/>
          <w:color w:val="auto"/>
        </w:rPr>
      </w:pPr>
    </w:p>
    <w:p>
      <w:pPr>
        <w:ind w:left="40"/>
        <w:spacing w:after="0"/>
        <w:rPr>
          <w:sz w:val="20"/>
          <w:szCs w:val="20"/>
          <w:color w:val="auto"/>
        </w:rPr>
      </w:pPr>
      <w:r>
        <w:rPr>
          <w:rFonts w:ascii="Arial" w:cs="Arial" w:eastAsia="Arial" w:hAnsi="Arial"/>
          <w:sz w:val="17"/>
          <w:szCs w:val="17"/>
          <w:color w:val="auto"/>
        </w:rPr>
        <w:t>Fee Offset</w:t>
      </w:r>
    </w:p>
    <w:p>
      <w:pPr>
        <w:spacing w:after="0" w:line="10" w:lineRule="exact"/>
        <w:rPr>
          <w:sz w:val="20"/>
          <w:szCs w:val="20"/>
          <w:color w:val="auto"/>
        </w:rPr>
      </w:pPr>
    </w:p>
    <w:p>
      <w:pPr>
        <w:ind w:left="40"/>
        <w:spacing w:after="0"/>
        <w:rPr>
          <w:sz w:val="20"/>
          <w:szCs w:val="20"/>
          <w:color w:val="auto"/>
        </w:rPr>
      </w:pPr>
      <w:r>
        <w:rPr>
          <w:rFonts w:ascii="Arial" w:cs="Arial" w:eastAsia="Arial" w:hAnsi="Arial"/>
          <w:sz w:val="17"/>
          <w:szCs w:val="17"/>
          <w:color w:val="auto"/>
        </w:rPr>
        <w:t>Sources</w:t>
      </w:r>
    </w:p>
    <w:p>
      <w:pPr>
        <w:spacing w:after="0" w:line="234" w:lineRule="exact"/>
        <w:rPr>
          <w:sz w:val="20"/>
          <w:szCs w:val="20"/>
          <w:color w:val="auto"/>
        </w:rPr>
      </w:pPr>
    </w:p>
    <w:tbl>
      <w:tblPr>
        <w:tblLayout w:type="fixed"/>
        <w:tblInd w:w="10" w:type="dxa"/>
        <w:tblCellMar>
          <w:top w:w="0" w:type="dxa"/>
          <w:left w:w="0" w:type="dxa"/>
          <w:bottom w:w="0" w:type="dxa"/>
          <w:right w:w="0" w:type="dxa"/>
        </w:tblCellMar>
      </w:tblPr>
      <w:tr>
        <w:trPr>
          <w:trHeight w:val="275"/>
        </w:trPr>
        <w:tc>
          <w:tcPr>
            <w:tcW w:w="40" w:type="dxa"/>
            <w:vAlign w:val="bottom"/>
            <w:tcBorders>
              <w:bottom w:val="single" w:sz="8" w:color="auto"/>
            </w:tcBorders>
          </w:tcPr>
          <w:p>
            <w:pPr>
              <w:spacing w:after="0"/>
              <w:rPr>
                <w:sz w:val="23"/>
                <w:szCs w:val="23"/>
                <w:color w:val="auto"/>
              </w:rPr>
            </w:pPr>
          </w:p>
        </w:tc>
        <w:tc>
          <w:tcPr>
            <w:tcW w:w="2660" w:type="dxa"/>
            <w:vAlign w:val="bottom"/>
            <w:tcBorders>
              <w:bottom w:val="single" w:sz="8" w:color="auto"/>
            </w:tcBorders>
            <w:gridSpan w:val="5"/>
          </w:tcPr>
          <w:p>
            <w:pPr>
              <w:spacing w:after="0"/>
              <w:rPr>
                <w:sz w:val="20"/>
                <w:szCs w:val="20"/>
                <w:color w:val="auto"/>
              </w:rPr>
            </w:pPr>
            <w:r>
              <w:rPr>
                <w:rFonts w:ascii="Arial" w:cs="Arial" w:eastAsia="Arial" w:hAnsi="Arial"/>
                <w:sz w:val="17"/>
                <w:szCs w:val="17"/>
                <w:b w:val="1"/>
                <w:bCs w:val="1"/>
                <w:color w:val="auto"/>
                <w:w w:val="98"/>
              </w:rPr>
              <w:t>Table 3: Combined Prospectuses</w:t>
            </w:r>
          </w:p>
        </w:tc>
        <w:tc>
          <w:tcPr>
            <w:tcW w:w="218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156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202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68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2060" w:type="dxa"/>
            <w:vAlign w:val="bottom"/>
            <w:tcBorders>
              <w:bottom w:val="single" w:sz="8" w:color="auto"/>
            </w:tcBorders>
            <w:gridSpan w:val="3"/>
          </w:tcPr>
          <w:p>
            <w:pPr>
              <w:ind w:left="700"/>
              <w:spacing w:after="0" w:line="196" w:lineRule="exact"/>
              <w:rPr>
                <w:sz w:val="20"/>
                <w:szCs w:val="20"/>
                <w:color w:val="auto"/>
              </w:rPr>
            </w:pPr>
            <w:r>
              <w:rPr>
                <w:rFonts w:ascii="MS PGothic" w:cs="MS PGothic" w:eastAsia="MS PGothic" w:hAnsi="MS PGothic"/>
                <w:sz w:val="17"/>
                <w:szCs w:val="17"/>
                <w:color w:val="auto"/>
                <w:highlight w:val="black"/>
                <w:w w:val="97"/>
              </w:rPr>
              <w:t>☑</w:t>
            </w:r>
            <w:r>
              <w:rPr>
                <w:rFonts w:ascii="Arial" w:cs="Arial" w:eastAsia="Arial" w:hAnsi="Arial"/>
                <w:sz w:val="17"/>
                <w:szCs w:val="17"/>
                <w:b w:val="1"/>
                <w:bCs w:val="1"/>
                <w:color w:val="auto"/>
                <w:w w:val="97"/>
              </w:rPr>
              <w:t>Not Applicable</w:t>
            </w:r>
          </w:p>
        </w:tc>
        <w:tc>
          <w:tcPr>
            <w:tcW w:w="0" w:type="dxa"/>
            <w:vAlign w:val="bottom"/>
          </w:tcPr>
          <w:p>
            <w:pPr>
              <w:spacing w:after="0"/>
              <w:rPr>
                <w:sz w:val="1"/>
                <w:szCs w:val="1"/>
                <w:color w:val="auto"/>
              </w:rPr>
            </w:pPr>
          </w:p>
        </w:tc>
      </w:tr>
      <w:tr>
        <w:trPr>
          <w:trHeight w:val="195"/>
        </w:trPr>
        <w:tc>
          <w:tcPr>
            <w:tcW w:w="40" w:type="dxa"/>
            <w:vAlign w:val="bottom"/>
            <w:tcBorders>
              <w:left w:val="single" w:sz="8" w:color="auto"/>
            </w:tcBorders>
          </w:tcPr>
          <w:p>
            <w:pPr>
              <w:spacing w:after="0"/>
              <w:rPr>
                <w:sz w:val="16"/>
                <w:szCs w:val="16"/>
                <w:color w:val="auto"/>
              </w:rPr>
            </w:pPr>
          </w:p>
        </w:tc>
        <w:tc>
          <w:tcPr>
            <w:tcW w:w="44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56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20" w:type="dxa"/>
            <w:vAlign w:val="bottom"/>
            <w:shd w:val="clear" w:color="auto" w:fill="9ADAF6"/>
          </w:tcPr>
          <w:p>
            <w:pPr>
              <w:spacing w:after="0"/>
              <w:rPr>
                <w:sz w:val="16"/>
                <w:szCs w:val="16"/>
                <w:color w:val="auto"/>
              </w:rPr>
            </w:pPr>
          </w:p>
        </w:tc>
        <w:tc>
          <w:tcPr>
            <w:tcW w:w="21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560" w:type="dxa"/>
            <w:vAlign w:val="bottom"/>
            <w:shd w:val="clear" w:color="auto" w:fill="9ADAF6"/>
          </w:tcPr>
          <w:p>
            <w:pPr>
              <w:ind w:left="360"/>
              <w:spacing w:after="0"/>
              <w:rPr>
                <w:sz w:val="20"/>
                <w:szCs w:val="20"/>
                <w:color w:val="auto"/>
              </w:rPr>
            </w:pPr>
            <w:r>
              <w:rPr>
                <w:rFonts w:ascii="Arial" w:cs="Arial" w:eastAsia="Arial" w:hAnsi="Arial"/>
                <w:sz w:val="17"/>
                <w:szCs w:val="17"/>
                <w:b w:val="1"/>
                <w:bCs w:val="1"/>
                <w:color w:val="auto"/>
              </w:rPr>
              <w:t>Amount of</w:t>
            </w:r>
          </w:p>
        </w:tc>
        <w:tc>
          <w:tcPr>
            <w:tcW w:w="20" w:type="dxa"/>
            <w:vAlign w:val="bottom"/>
          </w:tcPr>
          <w:p>
            <w:pPr>
              <w:spacing w:after="0"/>
              <w:rPr>
                <w:sz w:val="16"/>
                <w:szCs w:val="16"/>
                <w:color w:val="auto"/>
              </w:rPr>
            </w:pPr>
          </w:p>
        </w:tc>
        <w:tc>
          <w:tcPr>
            <w:tcW w:w="2020" w:type="dxa"/>
            <w:vAlign w:val="bottom"/>
            <w:shd w:val="clear" w:color="auto" w:fill="9ADAF6"/>
          </w:tcPr>
          <w:p>
            <w:pPr>
              <w:jc w:val="center"/>
              <w:spacing w:after="0"/>
              <w:rPr>
                <w:sz w:val="20"/>
                <w:szCs w:val="20"/>
                <w:color w:val="auto"/>
              </w:rPr>
            </w:pPr>
            <w:r>
              <w:rPr>
                <w:rFonts w:ascii="Arial" w:cs="Arial" w:eastAsia="Arial" w:hAnsi="Arial"/>
                <w:sz w:val="17"/>
                <w:szCs w:val="17"/>
                <w:b w:val="1"/>
                <w:bCs w:val="1"/>
                <w:color w:val="auto"/>
                <w:w w:val="99"/>
              </w:rPr>
              <w:t>Maximum Aggregate</w:t>
            </w:r>
          </w:p>
        </w:tc>
        <w:tc>
          <w:tcPr>
            <w:tcW w:w="20" w:type="dxa"/>
            <w:vAlign w:val="bottom"/>
          </w:tcPr>
          <w:p>
            <w:pPr>
              <w:spacing w:after="0"/>
              <w:rPr>
                <w:sz w:val="16"/>
                <w:szCs w:val="16"/>
                <w:color w:val="auto"/>
              </w:rPr>
            </w:pPr>
          </w:p>
        </w:tc>
        <w:tc>
          <w:tcPr>
            <w:tcW w:w="6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1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40" w:type="dxa"/>
            <w:vAlign w:val="bottom"/>
            <w:tcBorders>
              <w:right w:val="single" w:sz="8" w:color="auto"/>
            </w:tcBorders>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8"/>
              </w:rPr>
              <w:t>Initial</w:t>
            </w:r>
          </w:p>
        </w:tc>
        <w:tc>
          <w:tcPr>
            <w:tcW w:w="0" w:type="dxa"/>
            <w:vAlign w:val="bottom"/>
          </w:tcPr>
          <w:p>
            <w:pPr>
              <w:spacing w:after="0"/>
              <w:rPr>
                <w:sz w:val="1"/>
                <w:szCs w:val="1"/>
                <w:color w:val="auto"/>
              </w:rPr>
            </w:pPr>
          </w:p>
        </w:tc>
      </w:tr>
      <w:tr>
        <w:trPr>
          <w:trHeight w:val="95"/>
        </w:trPr>
        <w:tc>
          <w:tcPr>
            <w:tcW w:w="40" w:type="dxa"/>
            <w:vAlign w:val="bottom"/>
            <w:tcBorders>
              <w:left w:val="single" w:sz="8" w:color="auto"/>
            </w:tcBorders>
          </w:tcPr>
          <w:p>
            <w:pPr>
              <w:spacing w:after="0"/>
              <w:rPr>
                <w:sz w:val="8"/>
                <w:szCs w:val="8"/>
                <w:color w:val="auto"/>
              </w:rPr>
            </w:pPr>
          </w:p>
        </w:tc>
        <w:tc>
          <w:tcPr>
            <w:tcW w:w="44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156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620" w:type="dxa"/>
            <w:vAlign w:val="bottom"/>
            <w:shd w:val="clear" w:color="auto" w:fill="9ADAF6"/>
          </w:tcPr>
          <w:p>
            <w:pPr>
              <w:spacing w:after="0"/>
              <w:rPr>
                <w:sz w:val="8"/>
                <w:szCs w:val="8"/>
                <w:color w:val="auto"/>
              </w:rPr>
            </w:pPr>
          </w:p>
        </w:tc>
        <w:tc>
          <w:tcPr>
            <w:tcW w:w="218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1560" w:type="dxa"/>
            <w:vAlign w:val="bottom"/>
            <w:vMerge w:val="restart"/>
            <w:shd w:val="clear" w:color="auto" w:fill="9ADAF6"/>
          </w:tcPr>
          <w:p>
            <w:pPr>
              <w:ind w:left="380"/>
              <w:spacing w:after="0" w:line="189" w:lineRule="exact"/>
              <w:rPr>
                <w:sz w:val="20"/>
                <w:szCs w:val="20"/>
                <w:color w:val="auto"/>
              </w:rPr>
            </w:pPr>
            <w:r>
              <w:rPr>
                <w:rFonts w:ascii="Arial" w:cs="Arial" w:eastAsia="Arial" w:hAnsi="Arial"/>
                <w:sz w:val="17"/>
                <w:szCs w:val="17"/>
                <w:b w:val="1"/>
                <w:bCs w:val="1"/>
                <w:color w:val="auto"/>
              </w:rPr>
              <w:t>Securities</w:t>
            </w:r>
          </w:p>
        </w:tc>
        <w:tc>
          <w:tcPr>
            <w:tcW w:w="20" w:type="dxa"/>
            <w:vAlign w:val="bottom"/>
          </w:tcPr>
          <w:p>
            <w:pPr>
              <w:spacing w:after="0"/>
              <w:rPr>
                <w:sz w:val="8"/>
                <w:szCs w:val="8"/>
                <w:color w:val="auto"/>
              </w:rPr>
            </w:pPr>
          </w:p>
        </w:tc>
        <w:tc>
          <w:tcPr>
            <w:tcW w:w="2020" w:type="dxa"/>
            <w:vAlign w:val="bottom"/>
            <w:vMerge w:val="restart"/>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9"/>
              </w:rPr>
              <w:t>Offering Price of</w:t>
            </w:r>
          </w:p>
        </w:tc>
        <w:tc>
          <w:tcPr>
            <w:tcW w:w="20" w:type="dxa"/>
            <w:vAlign w:val="bottom"/>
          </w:tcPr>
          <w:p>
            <w:pPr>
              <w:spacing w:after="0"/>
              <w:rPr>
                <w:sz w:val="8"/>
                <w:szCs w:val="8"/>
                <w:color w:val="auto"/>
              </w:rPr>
            </w:pPr>
          </w:p>
        </w:tc>
        <w:tc>
          <w:tcPr>
            <w:tcW w:w="680" w:type="dxa"/>
            <w:vAlign w:val="bottom"/>
            <w:vMerge w:val="restart"/>
            <w:shd w:val="clear" w:color="auto" w:fill="9ADAF6"/>
          </w:tcPr>
          <w:p>
            <w:pPr>
              <w:ind w:left="120"/>
              <w:spacing w:after="0" w:line="189" w:lineRule="exact"/>
              <w:rPr>
                <w:sz w:val="20"/>
                <w:szCs w:val="20"/>
                <w:color w:val="auto"/>
              </w:rPr>
            </w:pPr>
            <w:r>
              <w:rPr>
                <w:rFonts w:ascii="Arial" w:cs="Arial" w:eastAsia="Arial" w:hAnsi="Arial"/>
                <w:sz w:val="17"/>
                <w:szCs w:val="17"/>
                <w:b w:val="1"/>
                <w:bCs w:val="1"/>
                <w:color w:val="auto"/>
              </w:rPr>
              <w:t>Form</w:t>
            </w:r>
          </w:p>
        </w:tc>
        <w:tc>
          <w:tcPr>
            <w:tcW w:w="20" w:type="dxa"/>
            <w:vAlign w:val="bottom"/>
          </w:tcPr>
          <w:p>
            <w:pPr>
              <w:spacing w:after="0"/>
              <w:rPr>
                <w:sz w:val="8"/>
                <w:szCs w:val="8"/>
                <w:color w:val="auto"/>
              </w:rPr>
            </w:pPr>
          </w:p>
        </w:tc>
        <w:tc>
          <w:tcPr>
            <w:tcW w:w="110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940" w:type="dxa"/>
            <w:vAlign w:val="bottom"/>
            <w:tcBorders>
              <w:right w:val="single" w:sz="8" w:color="auto"/>
            </w:tcBorders>
            <w:vMerge w:val="continue"/>
            <w:shd w:val="clear" w:color="auto" w:fill="9ADAF6"/>
          </w:tcPr>
          <w:p>
            <w:pPr>
              <w:spacing w:after="0"/>
              <w:rPr>
                <w:sz w:val="8"/>
                <w:szCs w:val="8"/>
                <w:color w:val="auto"/>
              </w:rPr>
            </w:pPr>
          </w:p>
        </w:tc>
        <w:tc>
          <w:tcPr>
            <w:tcW w:w="0" w:type="dxa"/>
            <w:vAlign w:val="bottom"/>
          </w:tcPr>
          <w:p>
            <w:pPr>
              <w:spacing w:after="0"/>
              <w:rPr>
                <w:sz w:val="1"/>
                <w:szCs w:val="1"/>
                <w:color w:val="auto"/>
              </w:rPr>
            </w:pPr>
          </w:p>
        </w:tc>
      </w:tr>
      <w:tr>
        <w:trPr>
          <w:trHeight w:val="95"/>
        </w:trPr>
        <w:tc>
          <w:tcPr>
            <w:tcW w:w="40" w:type="dxa"/>
            <w:vAlign w:val="bottom"/>
            <w:tcBorders>
              <w:left w:val="single" w:sz="8" w:color="auto"/>
            </w:tcBorders>
          </w:tcPr>
          <w:p>
            <w:pPr>
              <w:spacing w:after="0"/>
              <w:rPr>
                <w:sz w:val="8"/>
                <w:szCs w:val="8"/>
                <w:color w:val="auto"/>
              </w:rPr>
            </w:pPr>
          </w:p>
        </w:tc>
        <w:tc>
          <w:tcPr>
            <w:tcW w:w="44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1560" w:type="dxa"/>
            <w:vAlign w:val="bottom"/>
            <w:vMerge w:val="restart"/>
            <w:shd w:val="clear" w:color="auto" w:fill="9ADAF6"/>
          </w:tcPr>
          <w:p>
            <w:pPr>
              <w:ind w:left="240"/>
              <w:spacing w:after="0" w:line="189" w:lineRule="exact"/>
              <w:rPr>
                <w:sz w:val="20"/>
                <w:szCs w:val="20"/>
                <w:color w:val="auto"/>
              </w:rPr>
            </w:pPr>
            <w:r>
              <w:rPr>
                <w:rFonts w:ascii="Arial" w:cs="Arial" w:eastAsia="Arial" w:hAnsi="Arial"/>
                <w:sz w:val="17"/>
                <w:szCs w:val="17"/>
                <w:b w:val="1"/>
                <w:bCs w:val="1"/>
                <w:color w:val="auto"/>
              </w:rPr>
              <w:t>Security Type</w:t>
            </w:r>
          </w:p>
        </w:tc>
        <w:tc>
          <w:tcPr>
            <w:tcW w:w="20" w:type="dxa"/>
            <w:vAlign w:val="bottom"/>
          </w:tcPr>
          <w:p>
            <w:pPr>
              <w:spacing w:after="0"/>
              <w:rPr>
                <w:sz w:val="8"/>
                <w:szCs w:val="8"/>
                <w:color w:val="auto"/>
              </w:rPr>
            </w:pPr>
          </w:p>
        </w:tc>
        <w:tc>
          <w:tcPr>
            <w:tcW w:w="620" w:type="dxa"/>
            <w:vAlign w:val="bottom"/>
            <w:shd w:val="clear" w:color="auto" w:fill="9ADAF6"/>
          </w:tcPr>
          <w:p>
            <w:pPr>
              <w:spacing w:after="0"/>
              <w:rPr>
                <w:sz w:val="8"/>
                <w:szCs w:val="8"/>
                <w:color w:val="auto"/>
              </w:rPr>
            </w:pPr>
          </w:p>
        </w:tc>
        <w:tc>
          <w:tcPr>
            <w:tcW w:w="2180" w:type="dxa"/>
            <w:vAlign w:val="bottom"/>
            <w:vMerge w:val="restart"/>
            <w:shd w:val="clear" w:color="auto" w:fill="9ADAF6"/>
          </w:tcPr>
          <w:p>
            <w:pPr>
              <w:spacing w:after="0" w:line="189" w:lineRule="exact"/>
              <w:rPr>
                <w:sz w:val="20"/>
                <w:szCs w:val="20"/>
                <w:color w:val="auto"/>
              </w:rPr>
            </w:pPr>
            <w:r>
              <w:rPr>
                <w:rFonts w:ascii="Arial" w:cs="Arial" w:eastAsia="Arial" w:hAnsi="Arial"/>
                <w:sz w:val="17"/>
                <w:szCs w:val="17"/>
                <w:b w:val="1"/>
                <w:bCs w:val="1"/>
                <w:color w:val="auto"/>
              </w:rPr>
              <w:t>Security Class Title</w:t>
            </w:r>
          </w:p>
        </w:tc>
        <w:tc>
          <w:tcPr>
            <w:tcW w:w="20" w:type="dxa"/>
            <w:vAlign w:val="bottom"/>
          </w:tcPr>
          <w:p>
            <w:pPr>
              <w:spacing w:after="0"/>
              <w:rPr>
                <w:sz w:val="8"/>
                <w:szCs w:val="8"/>
                <w:color w:val="auto"/>
              </w:rPr>
            </w:pPr>
          </w:p>
        </w:tc>
        <w:tc>
          <w:tcPr>
            <w:tcW w:w="1560" w:type="dxa"/>
            <w:vAlign w:val="bottom"/>
            <w:vMerge w:val="continue"/>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2020" w:type="dxa"/>
            <w:vAlign w:val="bottom"/>
            <w:vMerge w:val="continue"/>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680" w:type="dxa"/>
            <w:vAlign w:val="bottom"/>
            <w:vMerge w:val="continue"/>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1100" w:type="dxa"/>
            <w:vAlign w:val="bottom"/>
            <w:vMerge w:val="restart"/>
            <w:shd w:val="clear" w:color="auto" w:fill="9ADAF6"/>
          </w:tcPr>
          <w:p>
            <w:pPr>
              <w:ind w:left="60"/>
              <w:spacing w:after="0" w:line="189" w:lineRule="exact"/>
              <w:rPr>
                <w:sz w:val="20"/>
                <w:szCs w:val="20"/>
                <w:color w:val="auto"/>
              </w:rPr>
            </w:pPr>
            <w:r>
              <w:rPr>
                <w:rFonts w:ascii="Arial" w:cs="Arial" w:eastAsia="Arial" w:hAnsi="Arial"/>
                <w:sz w:val="17"/>
                <w:szCs w:val="17"/>
                <w:b w:val="1"/>
                <w:bCs w:val="1"/>
                <w:color w:val="auto"/>
              </w:rPr>
              <w:t>File Number</w:t>
            </w:r>
          </w:p>
        </w:tc>
        <w:tc>
          <w:tcPr>
            <w:tcW w:w="20" w:type="dxa"/>
            <w:vAlign w:val="bottom"/>
          </w:tcPr>
          <w:p>
            <w:pPr>
              <w:spacing w:after="0"/>
              <w:rPr>
                <w:sz w:val="8"/>
                <w:szCs w:val="8"/>
                <w:color w:val="auto"/>
              </w:rPr>
            </w:pPr>
          </w:p>
        </w:tc>
        <w:tc>
          <w:tcPr>
            <w:tcW w:w="940" w:type="dxa"/>
            <w:vAlign w:val="bottom"/>
            <w:tcBorders>
              <w:right w:val="single" w:sz="8" w:color="auto"/>
            </w:tcBorders>
            <w:vMerge w:val="restart"/>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8"/>
              </w:rPr>
              <w:t>Effective</w:t>
            </w:r>
          </w:p>
        </w:tc>
        <w:tc>
          <w:tcPr>
            <w:tcW w:w="0" w:type="dxa"/>
            <w:vAlign w:val="bottom"/>
          </w:tcPr>
          <w:p>
            <w:pPr>
              <w:spacing w:after="0"/>
              <w:rPr>
                <w:sz w:val="1"/>
                <w:szCs w:val="1"/>
                <w:color w:val="auto"/>
              </w:rPr>
            </w:pPr>
          </w:p>
        </w:tc>
      </w:tr>
      <w:tr>
        <w:trPr>
          <w:trHeight w:val="95"/>
        </w:trPr>
        <w:tc>
          <w:tcPr>
            <w:tcW w:w="40" w:type="dxa"/>
            <w:vAlign w:val="bottom"/>
            <w:tcBorders>
              <w:left w:val="single" w:sz="8" w:color="auto"/>
            </w:tcBorders>
          </w:tcPr>
          <w:p>
            <w:pPr>
              <w:spacing w:after="0"/>
              <w:rPr>
                <w:sz w:val="8"/>
                <w:szCs w:val="8"/>
                <w:color w:val="auto"/>
              </w:rPr>
            </w:pPr>
          </w:p>
        </w:tc>
        <w:tc>
          <w:tcPr>
            <w:tcW w:w="44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1560" w:type="dxa"/>
            <w:vAlign w:val="bottom"/>
            <w:vMerge w:val="continue"/>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620" w:type="dxa"/>
            <w:vAlign w:val="bottom"/>
            <w:shd w:val="clear" w:color="auto" w:fill="9ADAF6"/>
          </w:tcPr>
          <w:p>
            <w:pPr>
              <w:spacing w:after="0"/>
              <w:rPr>
                <w:sz w:val="8"/>
                <w:szCs w:val="8"/>
                <w:color w:val="auto"/>
              </w:rPr>
            </w:pPr>
          </w:p>
        </w:tc>
        <w:tc>
          <w:tcPr>
            <w:tcW w:w="2180" w:type="dxa"/>
            <w:vAlign w:val="bottom"/>
            <w:vMerge w:val="continue"/>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1560" w:type="dxa"/>
            <w:vAlign w:val="bottom"/>
            <w:vMerge w:val="restart"/>
            <w:shd w:val="clear" w:color="auto" w:fill="9ADAF6"/>
          </w:tcPr>
          <w:p>
            <w:pPr>
              <w:ind w:left="360"/>
              <w:spacing w:after="0" w:line="189" w:lineRule="exact"/>
              <w:rPr>
                <w:sz w:val="20"/>
                <w:szCs w:val="20"/>
                <w:color w:val="auto"/>
              </w:rPr>
            </w:pPr>
            <w:r>
              <w:rPr>
                <w:rFonts w:ascii="Arial" w:cs="Arial" w:eastAsia="Arial" w:hAnsi="Arial"/>
                <w:sz w:val="17"/>
                <w:szCs w:val="17"/>
                <w:b w:val="1"/>
                <w:bCs w:val="1"/>
                <w:color w:val="auto"/>
              </w:rPr>
              <w:t>Previously</w:t>
            </w:r>
          </w:p>
        </w:tc>
        <w:tc>
          <w:tcPr>
            <w:tcW w:w="20" w:type="dxa"/>
            <w:vAlign w:val="bottom"/>
          </w:tcPr>
          <w:p>
            <w:pPr>
              <w:spacing w:after="0"/>
              <w:rPr>
                <w:sz w:val="8"/>
                <w:szCs w:val="8"/>
                <w:color w:val="auto"/>
              </w:rPr>
            </w:pPr>
          </w:p>
        </w:tc>
        <w:tc>
          <w:tcPr>
            <w:tcW w:w="2020" w:type="dxa"/>
            <w:vAlign w:val="bottom"/>
            <w:vMerge w:val="restart"/>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8"/>
              </w:rPr>
              <w:t>Securities Previously</w:t>
            </w:r>
          </w:p>
        </w:tc>
        <w:tc>
          <w:tcPr>
            <w:tcW w:w="20" w:type="dxa"/>
            <w:vAlign w:val="bottom"/>
          </w:tcPr>
          <w:p>
            <w:pPr>
              <w:spacing w:after="0"/>
              <w:rPr>
                <w:sz w:val="8"/>
                <w:szCs w:val="8"/>
                <w:color w:val="auto"/>
              </w:rPr>
            </w:pPr>
          </w:p>
        </w:tc>
        <w:tc>
          <w:tcPr>
            <w:tcW w:w="680" w:type="dxa"/>
            <w:vAlign w:val="bottom"/>
            <w:vMerge w:val="restart"/>
            <w:shd w:val="clear" w:color="auto" w:fill="9ADAF6"/>
          </w:tcPr>
          <w:p>
            <w:pPr>
              <w:ind w:left="140"/>
              <w:spacing w:after="0" w:line="189" w:lineRule="exact"/>
              <w:rPr>
                <w:sz w:val="20"/>
                <w:szCs w:val="20"/>
                <w:color w:val="auto"/>
              </w:rPr>
            </w:pPr>
            <w:r>
              <w:rPr>
                <w:rFonts w:ascii="Arial" w:cs="Arial" w:eastAsia="Arial" w:hAnsi="Arial"/>
                <w:sz w:val="17"/>
                <w:szCs w:val="17"/>
                <w:b w:val="1"/>
                <w:bCs w:val="1"/>
                <w:color w:val="auto"/>
              </w:rPr>
              <w:t>Type</w:t>
            </w:r>
          </w:p>
        </w:tc>
        <w:tc>
          <w:tcPr>
            <w:tcW w:w="20" w:type="dxa"/>
            <w:vAlign w:val="bottom"/>
          </w:tcPr>
          <w:p>
            <w:pPr>
              <w:spacing w:after="0"/>
              <w:rPr>
                <w:sz w:val="8"/>
                <w:szCs w:val="8"/>
                <w:color w:val="auto"/>
              </w:rPr>
            </w:pPr>
          </w:p>
        </w:tc>
        <w:tc>
          <w:tcPr>
            <w:tcW w:w="1100" w:type="dxa"/>
            <w:vAlign w:val="bottom"/>
            <w:vMerge w:val="continue"/>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940" w:type="dxa"/>
            <w:vAlign w:val="bottom"/>
            <w:tcBorders>
              <w:right w:val="single" w:sz="8" w:color="auto"/>
            </w:tcBorders>
            <w:vMerge w:val="continue"/>
            <w:shd w:val="clear" w:color="auto" w:fill="9ADAF6"/>
          </w:tcPr>
          <w:p>
            <w:pPr>
              <w:spacing w:after="0"/>
              <w:rPr>
                <w:sz w:val="8"/>
                <w:szCs w:val="8"/>
                <w:color w:val="auto"/>
              </w:rPr>
            </w:pPr>
          </w:p>
        </w:tc>
        <w:tc>
          <w:tcPr>
            <w:tcW w:w="0" w:type="dxa"/>
            <w:vAlign w:val="bottom"/>
          </w:tcPr>
          <w:p>
            <w:pPr>
              <w:spacing w:after="0"/>
              <w:rPr>
                <w:sz w:val="1"/>
                <w:szCs w:val="1"/>
                <w:color w:val="auto"/>
              </w:rPr>
            </w:pPr>
          </w:p>
        </w:tc>
      </w:tr>
      <w:tr>
        <w:trPr>
          <w:trHeight w:val="95"/>
        </w:trPr>
        <w:tc>
          <w:tcPr>
            <w:tcW w:w="40" w:type="dxa"/>
            <w:vAlign w:val="bottom"/>
            <w:tcBorders>
              <w:left w:val="single" w:sz="8" w:color="auto"/>
            </w:tcBorders>
          </w:tcPr>
          <w:p>
            <w:pPr>
              <w:spacing w:after="0"/>
              <w:rPr>
                <w:sz w:val="8"/>
                <w:szCs w:val="8"/>
                <w:color w:val="auto"/>
              </w:rPr>
            </w:pPr>
          </w:p>
        </w:tc>
        <w:tc>
          <w:tcPr>
            <w:tcW w:w="44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156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620" w:type="dxa"/>
            <w:vAlign w:val="bottom"/>
            <w:shd w:val="clear" w:color="auto" w:fill="9ADAF6"/>
          </w:tcPr>
          <w:p>
            <w:pPr>
              <w:spacing w:after="0"/>
              <w:rPr>
                <w:sz w:val="8"/>
                <w:szCs w:val="8"/>
                <w:color w:val="auto"/>
              </w:rPr>
            </w:pPr>
          </w:p>
        </w:tc>
        <w:tc>
          <w:tcPr>
            <w:tcW w:w="218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1560" w:type="dxa"/>
            <w:vAlign w:val="bottom"/>
            <w:vMerge w:val="continue"/>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2020" w:type="dxa"/>
            <w:vAlign w:val="bottom"/>
            <w:vMerge w:val="continue"/>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680" w:type="dxa"/>
            <w:vAlign w:val="bottom"/>
            <w:vMerge w:val="continue"/>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110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940" w:type="dxa"/>
            <w:vAlign w:val="bottom"/>
            <w:tcBorders>
              <w:right w:val="single" w:sz="8" w:color="auto"/>
            </w:tcBorders>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7"/>
              </w:rPr>
              <w:t>Date</w:t>
            </w:r>
          </w:p>
        </w:tc>
        <w:tc>
          <w:tcPr>
            <w:tcW w:w="0" w:type="dxa"/>
            <w:vAlign w:val="bottom"/>
          </w:tcPr>
          <w:p>
            <w:pPr>
              <w:spacing w:after="0"/>
              <w:rPr>
                <w:sz w:val="1"/>
                <w:szCs w:val="1"/>
                <w:color w:val="auto"/>
              </w:rPr>
            </w:pPr>
          </w:p>
        </w:tc>
      </w:tr>
      <w:tr>
        <w:trPr>
          <w:trHeight w:val="136"/>
        </w:trPr>
        <w:tc>
          <w:tcPr>
            <w:tcW w:w="40" w:type="dxa"/>
            <w:vAlign w:val="bottom"/>
            <w:tcBorders>
              <w:left w:val="single" w:sz="8" w:color="auto"/>
            </w:tcBorders>
          </w:tcPr>
          <w:p>
            <w:pPr>
              <w:spacing w:after="0"/>
              <w:rPr>
                <w:sz w:val="11"/>
                <w:szCs w:val="11"/>
                <w:color w:val="auto"/>
              </w:rPr>
            </w:pPr>
          </w:p>
        </w:tc>
        <w:tc>
          <w:tcPr>
            <w:tcW w:w="440" w:type="dxa"/>
            <w:vAlign w:val="bottom"/>
            <w:shd w:val="clear" w:color="auto" w:fill="9ADAF6"/>
          </w:tcPr>
          <w:p>
            <w:pPr>
              <w:spacing w:after="0"/>
              <w:rPr>
                <w:sz w:val="11"/>
                <w:szCs w:val="11"/>
                <w:color w:val="auto"/>
              </w:rPr>
            </w:pPr>
          </w:p>
        </w:tc>
        <w:tc>
          <w:tcPr>
            <w:tcW w:w="20" w:type="dxa"/>
            <w:vAlign w:val="bottom"/>
          </w:tcPr>
          <w:p>
            <w:pPr>
              <w:spacing w:after="0"/>
              <w:rPr>
                <w:sz w:val="11"/>
                <w:szCs w:val="11"/>
                <w:color w:val="auto"/>
              </w:rPr>
            </w:pPr>
          </w:p>
        </w:tc>
        <w:tc>
          <w:tcPr>
            <w:tcW w:w="1560" w:type="dxa"/>
            <w:vAlign w:val="bottom"/>
            <w:shd w:val="clear" w:color="auto" w:fill="9ADAF6"/>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shd w:val="clear" w:color="auto" w:fill="9ADAF6"/>
          </w:tcPr>
          <w:p>
            <w:pPr>
              <w:spacing w:after="0"/>
              <w:rPr>
                <w:sz w:val="11"/>
                <w:szCs w:val="11"/>
                <w:color w:val="auto"/>
              </w:rPr>
            </w:pPr>
          </w:p>
        </w:tc>
        <w:tc>
          <w:tcPr>
            <w:tcW w:w="2180" w:type="dxa"/>
            <w:vAlign w:val="bottom"/>
            <w:shd w:val="clear" w:color="auto" w:fill="9ADAF6"/>
          </w:tcPr>
          <w:p>
            <w:pPr>
              <w:spacing w:after="0"/>
              <w:rPr>
                <w:sz w:val="11"/>
                <w:szCs w:val="11"/>
                <w:color w:val="auto"/>
              </w:rPr>
            </w:pPr>
          </w:p>
        </w:tc>
        <w:tc>
          <w:tcPr>
            <w:tcW w:w="20" w:type="dxa"/>
            <w:vAlign w:val="bottom"/>
          </w:tcPr>
          <w:p>
            <w:pPr>
              <w:spacing w:after="0"/>
              <w:rPr>
                <w:sz w:val="11"/>
                <w:szCs w:val="11"/>
                <w:color w:val="auto"/>
              </w:rPr>
            </w:pPr>
          </w:p>
        </w:tc>
        <w:tc>
          <w:tcPr>
            <w:tcW w:w="1560" w:type="dxa"/>
            <w:vAlign w:val="bottom"/>
            <w:vMerge w:val="restart"/>
            <w:shd w:val="clear" w:color="auto" w:fill="9ADAF6"/>
          </w:tcPr>
          <w:p>
            <w:pPr>
              <w:ind w:left="340"/>
              <w:spacing w:after="0"/>
              <w:rPr>
                <w:sz w:val="20"/>
                <w:szCs w:val="20"/>
                <w:color w:val="auto"/>
              </w:rPr>
            </w:pPr>
            <w:r>
              <w:rPr>
                <w:rFonts w:ascii="Arial" w:cs="Arial" w:eastAsia="Arial" w:hAnsi="Arial"/>
                <w:sz w:val="17"/>
                <w:szCs w:val="17"/>
                <w:b w:val="1"/>
                <w:bCs w:val="1"/>
                <w:color w:val="auto"/>
              </w:rPr>
              <w:t>Registered</w:t>
            </w:r>
          </w:p>
        </w:tc>
        <w:tc>
          <w:tcPr>
            <w:tcW w:w="20" w:type="dxa"/>
            <w:vAlign w:val="bottom"/>
          </w:tcPr>
          <w:p>
            <w:pPr>
              <w:spacing w:after="0"/>
              <w:rPr>
                <w:sz w:val="11"/>
                <w:szCs w:val="11"/>
                <w:color w:val="auto"/>
              </w:rPr>
            </w:pPr>
          </w:p>
        </w:tc>
        <w:tc>
          <w:tcPr>
            <w:tcW w:w="2020" w:type="dxa"/>
            <w:vAlign w:val="bottom"/>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7"/>
              </w:rPr>
              <w:t>Registered</w:t>
            </w:r>
          </w:p>
        </w:tc>
        <w:tc>
          <w:tcPr>
            <w:tcW w:w="20" w:type="dxa"/>
            <w:vAlign w:val="bottom"/>
          </w:tcPr>
          <w:p>
            <w:pPr>
              <w:spacing w:after="0"/>
              <w:rPr>
                <w:sz w:val="11"/>
                <w:szCs w:val="11"/>
                <w:color w:val="auto"/>
              </w:rPr>
            </w:pPr>
          </w:p>
        </w:tc>
        <w:tc>
          <w:tcPr>
            <w:tcW w:w="680" w:type="dxa"/>
            <w:vAlign w:val="bottom"/>
            <w:shd w:val="clear" w:color="auto" w:fill="9ADAF6"/>
          </w:tcPr>
          <w:p>
            <w:pPr>
              <w:spacing w:after="0"/>
              <w:rPr>
                <w:sz w:val="11"/>
                <w:szCs w:val="11"/>
                <w:color w:val="auto"/>
              </w:rPr>
            </w:pPr>
          </w:p>
        </w:tc>
        <w:tc>
          <w:tcPr>
            <w:tcW w:w="20" w:type="dxa"/>
            <w:vAlign w:val="bottom"/>
          </w:tcPr>
          <w:p>
            <w:pPr>
              <w:spacing w:after="0"/>
              <w:rPr>
                <w:sz w:val="11"/>
                <w:szCs w:val="11"/>
                <w:color w:val="auto"/>
              </w:rPr>
            </w:pPr>
          </w:p>
        </w:tc>
        <w:tc>
          <w:tcPr>
            <w:tcW w:w="1100" w:type="dxa"/>
            <w:vAlign w:val="bottom"/>
            <w:shd w:val="clear" w:color="auto" w:fill="9ADAF6"/>
          </w:tcPr>
          <w:p>
            <w:pPr>
              <w:spacing w:after="0"/>
              <w:rPr>
                <w:sz w:val="11"/>
                <w:szCs w:val="11"/>
                <w:color w:val="auto"/>
              </w:rPr>
            </w:pPr>
          </w:p>
        </w:tc>
        <w:tc>
          <w:tcPr>
            <w:tcW w:w="20" w:type="dxa"/>
            <w:vAlign w:val="bottom"/>
          </w:tcPr>
          <w:p>
            <w:pPr>
              <w:spacing w:after="0"/>
              <w:rPr>
                <w:sz w:val="11"/>
                <w:szCs w:val="11"/>
                <w:color w:val="auto"/>
              </w:rPr>
            </w:pPr>
          </w:p>
        </w:tc>
        <w:tc>
          <w:tcPr>
            <w:tcW w:w="940" w:type="dxa"/>
            <w:vAlign w:val="bottom"/>
            <w:tcBorders>
              <w:right w:val="single" w:sz="8" w:color="auto"/>
            </w:tcBorders>
            <w:vMerge w:val="continue"/>
            <w:shd w:val="clear" w:color="auto" w:fill="9ADAF6"/>
          </w:tcPr>
          <w:p>
            <w:pPr>
              <w:spacing w:after="0"/>
              <w:rPr>
                <w:sz w:val="11"/>
                <w:szCs w:val="11"/>
                <w:color w:val="auto"/>
              </w:rPr>
            </w:pPr>
          </w:p>
        </w:tc>
        <w:tc>
          <w:tcPr>
            <w:tcW w:w="0" w:type="dxa"/>
            <w:vAlign w:val="bottom"/>
          </w:tcPr>
          <w:p>
            <w:pPr>
              <w:spacing w:after="0"/>
              <w:rPr>
                <w:sz w:val="1"/>
                <w:szCs w:val="1"/>
                <w:color w:val="auto"/>
              </w:rPr>
            </w:pPr>
          </w:p>
        </w:tc>
      </w:tr>
      <w:tr>
        <w:trPr>
          <w:trHeight w:val="85"/>
        </w:trPr>
        <w:tc>
          <w:tcPr>
            <w:tcW w:w="40" w:type="dxa"/>
            <w:vAlign w:val="bottom"/>
            <w:tcBorders>
              <w:left w:val="single" w:sz="8" w:color="auto"/>
            </w:tcBorders>
          </w:tcPr>
          <w:p>
            <w:pPr>
              <w:spacing w:after="0"/>
              <w:rPr>
                <w:sz w:val="7"/>
                <w:szCs w:val="7"/>
                <w:color w:val="auto"/>
              </w:rPr>
            </w:pPr>
          </w:p>
        </w:tc>
        <w:tc>
          <w:tcPr>
            <w:tcW w:w="440" w:type="dxa"/>
            <w:vAlign w:val="bottom"/>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1560" w:type="dxa"/>
            <w:vAlign w:val="bottom"/>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620" w:type="dxa"/>
            <w:vAlign w:val="bottom"/>
            <w:shd w:val="clear" w:color="auto" w:fill="9ADAF6"/>
          </w:tcPr>
          <w:p>
            <w:pPr>
              <w:spacing w:after="0"/>
              <w:rPr>
                <w:sz w:val="7"/>
                <w:szCs w:val="7"/>
                <w:color w:val="auto"/>
              </w:rPr>
            </w:pPr>
          </w:p>
        </w:tc>
        <w:tc>
          <w:tcPr>
            <w:tcW w:w="2180" w:type="dxa"/>
            <w:vAlign w:val="bottom"/>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1560" w:type="dxa"/>
            <w:vAlign w:val="bottom"/>
            <w:vMerge w:val="continue"/>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2020" w:type="dxa"/>
            <w:vAlign w:val="bottom"/>
            <w:vMerge w:val="continue"/>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680" w:type="dxa"/>
            <w:vAlign w:val="bottom"/>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1100" w:type="dxa"/>
            <w:vAlign w:val="bottom"/>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940" w:type="dxa"/>
            <w:vAlign w:val="bottom"/>
            <w:tcBorders>
              <w:right w:val="single" w:sz="8" w:color="auto"/>
            </w:tcBorders>
            <w:shd w:val="clear" w:color="auto" w:fill="9ADAF6"/>
          </w:tcPr>
          <w:p>
            <w:pPr>
              <w:spacing w:after="0"/>
              <w:rPr>
                <w:sz w:val="7"/>
                <w:szCs w:val="7"/>
                <w:color w:val="auto"/>
              </w:rPr>
            </w:pPr>
          </w:p>
        </w:tc>
        <w:tc>
          <w:tcPr>
            <w:tcW w:w="0" w:type="dxa"/>
            <w:vAlign w:val="bottom"/>
          </w:tcPr>
          <w:p>
            <w:pPr>
              <w:spacing w:after="0"/>
              <w:rPr>
                <w:sz w:val="1"/>
                <w:szCs w:val="1"/>
                <w:color w:val="auto"/>
              </w:rPr>
            </w:pPr>
          </w:p>
        </w:tc>
      </w:tr>
      <w:tr>
        <w:trPr>
          <w:trHeight w:val="22"/>
        </w:trPr>
        <w:tc>
          <w:tcPr>
            <w:tcW w:w="40" w:type="dxa"/>
            <w:vAlign w:val="bottom"/>
            <w:tcBorders>
              <w:left w:val="single" w:sz="8" w:color="auto"/>
            </w:tcBorders>
          </w:tcPr>
          <w:p>
            <w:pPr>
              <w:spacing w:after="0" w:line="20" w:lineRule="exact"/>
              <w:rPr>
                <w:sz w:val="1"/>
                <w:szCs w:val="1"/>
                <w:color w:val="auto"/>
              </w:rPr>
            </w:pPr>
          </w:p>
        </w:tc>
        <w:tc>
          <w:tcPr>
            <w:tcW w:w="440" w:type="dxa"/>
            <w:vAlign w:val="bottom"/>
            <w:tcBorders>
              <w:bottom w:val="single" w:sz="8" w:color="E7E7E2"/>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560" w:type="dxa"/>
            <w:vAlign w:val="bottom"/>
            <w:tcBorders>
              <w:bottom w:val="single" w:sz="8" w:color="E7E7E2"/>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Borders>
              <w:bottom w:val="single" w:sz="8" w:color="E7E7E2"/>
            </w:tcBorders>
          </w:tcPr>
          <w:p>
            <w:pPr>
              <w:spacing w:after="0" w:line="20" w:lineRule="exact"/>
              <w:rPr>
                <w:sz w:val="1"/>
                <w:szCs w:val="1"/>
                <w:color w:val="auto"/>
              </w:rPr>
            </w:pPr>
          </w:p>
        </w:tc>
        <w:tc>
          <w:tcPr>
            <w:tcW w:w="2180" w:type="dxa"/>
            <w:vAlign w:val="bottom"/>
            <w:tcBorders>
              <w:bottom w:val="single" w:sz="8" w:color="E7E7E2"/>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560" w:type="dxa"/>
            <w:vAlign w:val="bottom"/>
            <w:tcBorders>
              <w:bottom w:val="single" w:sz="8" w:color="E7E7E2"/>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20" w:type="dxa"/>
            <w:vAlign w:val="bottom"/>
            <w:tcBorders>
              <w:bottom w:val="single" w:sz="8" w:color="E7E7E2"/>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Borders>
              <w:bottom w:val="single" w:sz="8" w:color="E7E7E2"/>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00" w:type="dxa"/>
            <w:vAlign w:val="bottom"/>
            <w:tcBorders>
              <w:bottom w:val="single" w:sz="8" w:color="E7E7E2"/>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40" w:type="dxa"/>
            <w:vAlign w:val="bottom"/>
            <w:tcBorders>
              <w:bottom w:val="single" w:sz="8" w:color="E7E7E2"/>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40" w:type="dxa"/>
            <w:vAlign w:val="bottom"/>
            <w:tcBorders>
              <w:left w:val="single" w:sz="8" w:color="auto"/>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1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6" w:lineRule="exact"/>
        <w:rPr>
          <w:sz w:val="20"/>
          <w:szCs w:val="20"/>
          <w:color w:val="auto"/>
        </w:rPr>
      </w:pPr>
    </w:p>
    <w:p>
      <w:pPr>
        <w:ind w:left="4820"/>
        <w:spacing w:after="0"/>
        <w:rPr>
          <w:sz w:val="20"/>
          <w:szCs w:val="20"/>
          <w:color w:val="auto"/>
        </w:rPr>
      </w:pPr>
      <w:r>
        <w:rPr>
          <w:rFonts w:ascii="Arial" w:cs="Arial" w:eastAsia="Arial" w:hAnsi="Arial"/>
          <w:sz w:val="17"/>
          <w:szCs w:val="17"/>
          <w:b w:val="1"/>
          <w:bCs w:val="1"/>
          <w:color w:val="auto"/>
        </w:rPr>
        <w:t>Narrative Disclosure</w:t>
      </w:r>
    </w:p>
    <w:p>
      <w:pPr>
        <w:spacing w:after="0" w:line="57" w:lineRule="exact"/>
        <w:rPr>
          <w:sz w:val="20"/>
          <w:szCs w:val="20"/>
          <w:color w:val="auto"/>
        </w:rPr>
      </w:pPr>
    </w:p>
    <w:p>
      <w:pPr>
        <w:ind w:left="160"/>
        <w:spacing w:after="0"/>
        <w:rPr>
          <w:sz w:val="20"/>
          <w:szCs w:val="20"/>
          <w:color w:val="auto"/>
        </w:rPr>
      </w:pPr>
      <w:r>
        <w:rPr>
          <w:rFonts w:ascii="Arial" w:cs="Arial" w:eastAsia="Arial" w:hAnsi="Arial"/>
          <w:sz w:val="17"/>
          <w:szCs w:val="17"/>
          <w:color w:val="auto"/>
        </w:rPr>
        <w:t>The maximum aggregate offering price of the securities to which the prospectus relates is $525,000,000.00. The prospectus is a final prospectus for</w:t>
      </w:r>
    </w:p>
    <w:p>
      <w:pPr>
        <w:spacing w:after="0" w:line="1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the related offering.</w:t>
      </w:r>
    </w:p>
    <w:sectPr>
      <w:pgSz w:w="11900" w:h="16838" w:orient="portrait"/>
      <w:cols w:equalWidth="0" w:num="1">
        <w:col w:w="11280"/>
      </w:cols>
      <w:pgMar w:left="300" w:top="120" w:right="3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5A2A8D4"/>
    <w:multiLevelType w:val="hybridMultilevel"/>
    <w:lvl w:ilvl="0">
      <w:lvlJc w:val="left"/>
      <w:lvlText w:val="(%1)"/>
      <w:numFmt w:val="decimal"/>
      <w:start w:val="1"/>
    </w:lvl>
  </w:abstractNum>
  <w:abstractNum w:abstractNumId="1">
    <w:nsid w:val="8EDBDAB"/>
    <w:multiLevelType w:val="hybridMultilevel"/>
    <w:lvl w:ilvl="0">
      <w:lvlJc w:val="left"/>
      <w:lvlText w:val="•"/>
      <w:numFmt w:val="bullet"/>
      <w:start w:val="1"/>
    </w:lvl>
  </w:abstractNum>
  <w:abstractNum w:abstractNumId="2">
    <w:nsid w:val="79838CB2"/>
    <w:multiLevelType w:val="hybridMultilevel"/>
    <w:lvl w:ilvl="0">
      <w:lvlJc w:val="left"/>
      <w:lvlText w:val="•"/>
      <w:numFmt w:val="bullet"/>
      <w:start w:val="1"/>
    </w:lvl>
  </w:abstractNum>
  <w:abstractNum w:abstractNumId="3">
    <w:nsid w:val="4353D0CD"/>
    <w:multiLevelType w:val="hybridMultilevel"/>
    <w:lvl w:ilvl="0">
      <w:lvlJc w:val="left"/>
      <w:lvlText w:val="•"/>
      <w:numFmt w:val="bullet"/>
      <w:start w:val="1"/>
    </w:lvl>
  </w:abstractNum>
  <w:abstractNum w:abstractNumId="4">
    <w:nsid w:val="B03E0C6"/>
    <w:multiLevelType w:val="hybridMultilevel"/>
    <w:lvl w:ilvl="0">
      <w:lvlJc w:val="left"/>
      <w:lvlText w:val="•"/>
      <w:numFmt w:val="bullet"/>
      <w:start w:val="1"/>
    </w:lvl>
    <w:lvl w:ilvl="1">
      <w:lvlJc w:val="left"/>
      <w:lvlText w:val="•"/>
      <w:numFmt w:val="bullet"/>
      <w:start w:val="1"/>
    </w:lvl>
  </w:abstractNum>
  <w:abstractNum w:abstractNumId="5">
    <w:nsid w:val="189A769B"/>
    <w:multiLevelType w:val="hybridMultilevel"/>
    <w:lvl w:ilvl="0">
      <w:lvlJc w:val="left"/>
      <w:lvlText w:val="•"/>
      <w:numFmt w:val="bullet"/>
      <w:start w:val="1"/>
    </w:lvl>
  </w:abstractNum>
  <w:abstractNum w:abstractNumId="6">
    <w:nsid w:val="54E49EB4"/>
    <w:multiLevelType w:val="hybridMultilevel"/>
    <w:lvl w:ilvl="0">
      <w:lvlJc w:val="left"/>
      <w:lvlText w:val="•"/>
      <w:numFmt w:val="bullet"/>
      <w:start w:val="1"/>
    </w:lvl>
    <w:lvl w:ilvl="1">
      <w:lvlJc w:val="left"/>
      <w:lvlText w:val="•"/>
      <w:numFmt w:val="bullet"/>
      <w:start w:val="1"/>
    </w:lvl>
  </w:abstractNum>
  <w:abstractNum w:abstractNumId="7">
    <w:nsid w:val="71F32454"/>
    <w:multiLevelType w:val="hybridMultilevel"/>
    <w:lvl w:ilvl="0">
      <w:lvlJc w:val="left"/>
      <w:lvlText w:val="•"/>
      <w:numFmt w:val="bullet"/>
      <w:start w:val="1"/>
    </w:lvl>
    <w:lvl w:ilvl="1">
      <w:lvlJc w:val="left"/>
      <w:lvlText w:val="•"/>
      <w:numFmt w:val="bullet"/>
      <w:start w:val="1"/>
    </w:lvl>
  </w:abstractNum>
  <w:abstractNum w:abstractNumId="8">
    <w:nsid w:val="2CA88611"/>
    <w:multiLevelType w:val="hybridMultilevel"/>
    <w:lvl w:ilvl="0">
      <w:lvlJc w:val="left"/>
      <w:lvlText w:val="•"/>
      <w:numFmt w:val="bullet"/>
      <w:start w:val="1"/>
    </w:lvl>
  </w:abstractNum>
  <w:abstractNum w:abstractNumId="9">
    <w:nsid w:val="836C40E"/>
    <w:multiLevelType w:val="hybridMultilevel"/>
    <w:lvl w:ilvl="0">
      <w:lvlJc w:val="left"/>
      <w:lvlText w:val="•"/>
      <w:numFmt w:val="bullet"/>
      <w:start w:val="1"/>
    </w:lvl>
  </w:abstractNum>
  <w:abstractNum w:abstractNumId="10">
    <w:nsid w:val="2901D82"/>
    <w:multiLevelType w:val="hybridMultilevel"/>
    <w:lvl w:ilvl="0">
      <w:lvlJc w:val="left"/>
      <w:lvlText w:val="•"/>
      <w:numFmt w:val="bullet"/>
      <w:start w:val="1"/>
    </w:lvl>
  </w:abstractNum>
  <w:abstractNum w:abstractNumId="11">
    <w:nsid w:val="3A95F874"/>
    <w:multiLevelType w:val="hybridMultilevel"/>
    <w:lvl w:ilvl="0">
      <w:lvlJc w:val="left"/>
      <w:lvlText w:val="•"/>
      <w:numFmt w:val="bullet"/>
      <w:start w:val="1"/>
    </w:lvl>
  </w:abstractNum>
  <w:abstractNum w:abstractNumId="12">
    <w:nsid w:val="8138641"/>
    <w:multiLevelType w:val="hybridMultilevel"/>
    <w:lvl w:ilvl="0">
      <w:lvlJc w:val="left"/>
      <w:lvlText w:val="•"/>
      <w:numFmt w:val="bullet"/>
      <w:start w:val="1"/>
    </w:lvl>
  </w:abstractNum>
  <w:abstractNum w:abstractNumId="13">
    <w:nsid w:val="1E7FF521"/>
    <w:multiLevelType w:val="hybridMultilevel"/>
    <w:lvl w:ilvl="0">
      <w:lvlJc w:val="left"/>
      <w:lvlText w:val="•"/>
      <w:numFmt w:val="bullet"/>
      <w:start w:val="1"/>
    </w:lvl>
  </w:abstractNum>
  <w:abstractNum w:abstractNumId="14">
    <w:nsid w:val="7C3DBD3D"/>
    <w:multiLevelType w:val="hybridMultilevel"/>
    <w:lvl w:ilvl="0">
      <w:lvlJc w:val="left"/>
      <w:lvlText w:val="•"/>
      <w:numFmt w:val="bullet"/>
      <w:start w:val="1"/>
    </w:lvl>
  </w:abstractNum>
  <w:abstractNum w:abstractNumId="15">
    <w:nsid w:val="737B8DDC"/>
    <w:multiLevelType w:val="hybridMultilevel"/>
    <w:lvl w:ilvl="0">
      <w:lvlJc w:val="left"/>
      <w:lvlText w:val="•"/>
      <w:numFmt w:val="bullet"/>
      <w:start w:val="1"/>
    </w:lvl>
  </w:abstractNum>
  <w:abstractNum w:abstractNumId="16">
    <w:nsid w:val="6CEAF087"/>
    <w:multiLevelType w:val="hybridMultilevel"/>
    <w:lvl w:ilvl="0">
      <w:lvlJc w:val="left"/>
      <w:lvlText w:val="•"/>
      <w:numFmt w:val="bullet"/>
      <w:start w:val="1"/>
    </w:lvl>
  </w:abstractNum>
  <w:abstractNum w:abstractNumId="17">
    <w:nsid w:val="22221A70"/>
    <w:multiLevelType w:val="hybridMultilevel"/>
    <w:lvl w:ilvl="0">
      <w:lvlJc w:val="left"/>
      <w:lvlText w:val="(%1)"/>
      <w:numFmt w:val="upperLetter"/>
      <w:start w:val="2"/>
    </w:lvl>
  </w:abstractNum>
  <w:abstractNum w:abstractNumId="18">
    <w:nsid w:val="4516DDE9"/>
    <w:multiLevelType w:val="hybridMultilevel"/>
    <w:lvl w:ilvl="0">
      <w:lvlJc w:val="left"/>
      <w:lvlText w:val="•"/>
      <w:numFmt w:val="bullet"/>
      <w:start w:val="1"/>
    </w:lvl>
  </w:abstractNum>
  <w:abstractNum w:abstractNumId="19">
    <w:nsid w:val="3006C83E"/>
    <w:multiLevelType w:val="hybridMultilevel"/>
    <w:lvl w:ilvl="0">
      <w:lvlJc w:val="left"/>
      <w:lvlText w:val="(%1)"/>
      <w:numFmt w:val="upperLetter"/>
      <w:start w:val="1"/>
    </w:lvl>
    <w:lvl w:ilvl="1">
      <w:lvlJc w:val="left"/>
      <w:lvlText w:val="•"/>
      <w:numFmt w:val="bullet"/>
      <w:start w:val="1"/>
    </w:lvl>
  </w:abstractNum>
  <w:abstractNum w:abstractNumId="20">
    <w:nsid w:val="614FD4A1"/>
    <w:multiLevelType w:val="hybridMultilevel"/>
    <w:lvl w:ilvl="0">
      <w:lvlJc w:val="left"/>
      <w:lvlText w:val="(%1)"/>
      <w:numFmt w:val="upperLetter"/>
      <w:start w:val="2"/>
    </w:lvl>
  </w:abstractNum>
  <w:abstractNum w:abstractNumId="21">
    <w:nsid w:val="419AC241"/>
    <w:multiLevelType w:val="hybridMultilevel"/>
    <w:lvl w:ilvl="0">
      <w:lvlJc w:val="left"/>
      <w:lvlText w:val="(%1)"/>
      <w:numFmt w:val="decimal"/>
      <w:start w:val="1"/>
    </w:lvl>
  </w:abstractNum>
  <w:abstractNum w:abstractNumId="22">
    <w:nsid w:val="5577F8E1"/>
    <w:multiLevelType w:val="hybridMultilevel"/>
    <w:lvl w:ilvl="0">
      <w:lvlJc w:val="left"/>
      <w:lvlText w:val="(%1)"/>
      <w:numFmt w:val="lowerLetter"/>
      <w:start w:val="1"/>
    </w:lvl>
  </w:abstractNum>
  <w:abstractNum w:abstractNumId="23">
    <w:nsid w:val="440BADFC"/>
    <w:multiLevelType w:val="hybridMultilevel"/>
    <w:lvl w:ilvl="0">
      <w:lvlJc w:val="left"/>
      <w:lvlText w:val="•"/>
      <w:numFmt w:val="bullet"/>
      <w:start w:val="1"/>
    </w:lvl>
  </w:abstractNum>
  <w:abstractNum w:abstractNumId="24">
    <w:nsid w:val="5072367"/>
    <w:multiLevelType w:val="hybridMultilevel"/>
    <w:lvl w:ilvl="0">
      <w:lvlJc w:val="left"/>
      <w:lvlText w:val="•"/>
      <w:numFmt w:val="bullet"/>
      <w:start w:val="1"/>
    </w:lvl>
  </w:abstractNum>
  <w:abstractNum w:abstractNumId="25">
    <w:nsid w:val="3804823E"/>
    <w:multiLevelType w:val="hybridMultilevel"/>
    <w:lvl w:ilvl="0">
      <w:lvlJc w:val="left"/>
      <w:lvlText w:val="•"/>
      <w:numFmt w:val="bullet"/>
      <w:start w:val="1"/>
    </w:lvl>
  </w:abstractNum>
  <w:abstractNum w:abstractNumId="26">
    <w:nsid w:val="77465F01"/>
    <w:multiLevelType w:val="hybridMultilevel"/>
    <w:lvl w:ilvl="0">
      <w:lvlJc w:val="left"/>
      <w:lvlText w:val="•"/>
      <w:numFmt w:val="bullet"/>
      <w:start w:val="1"/>
    </w:lvl>
  </w:abstractNum>
  <w:abstractNum w:abstractNumId="27">
    <w:nsid w:val="7724C67E"/>
    <w:multiLevelType w:val="hybridMultilevel"/>
    <w:lvl w:ilvl="0">
      <w:lvlJc w:val="left"/>
      <w:lvlText w:val="•"/>
      <w:numFmt w:val="bullet"/>
      <w:start w:val="1"/>
    </w:lvl>
  </w:abstractNum>
  <w:abstractNum w:abstractNumId="28">
    <w:nsid w:val="5C482A97"/>
    <w:multiLevelType w:val="hybridMultilevel"/>
    <w:lvl w:ilvl="0">
      <w:lvlJc w:val="left"/>
      <w:lvlText w:val="•"/>
      <w:numFmt w:val="bullet"/>
      <w:start w:val="1"/>
    </w:lvl>
  </w:abstractNum>
  <w:abstractNum w:abstractNumId="29">
    <w:nsid w:val="2463B9EA"/>
    <w:multiLevelType w:val="hybridMultilevel"/>
    <w:lvl w:ilvl="0">
      <w:lvlJc w:val="left"/>
      <w:lvlText w:val="•"/>
      <w:numFmt w:val="bullet"/>
      <w:start w:val="1"/>
    </w:lvl>
  </w:abstractNum>
  <w:abstractNum w:abstractNumId="30">
    <w:nsid w:val="5E884ADC"/>
    <w:multiLevelType w:val="hybridMultilevel"/>
    <w:lvl w:ilvl="0">
      <w:lvlJc w:val="left"/>
      <w:lvlText w:val="•"/>
      <w:numFmt w:val="bullet"/>
      <w:start w:val="1"/>
    </w:lvl>
  </w:abstractNum>
  <w:abstractNum w:abstractNumId="31">
    <w:nsid w:val="51EAD36B"/>
    <w:multiLevelType w:val="hybridMultilevel"/>
    <w:lvl w:ilvl="0">
      <w:lvlJc w:val="left"/>
      <w:lvlText w:val="•"/>
      <w:numFmt w:val="bullet"/>
      <w:start w:val="1"/>
    </w:lvl>
  </w:abstractNum>
  <w:abstractNum w:abstractNumId="32">
    <w:nsid w:val="2D517796"/>
    <w:multiLevelType w:val="hybridMultilevel"/>
    <w:lvl w:ilvl="0">
      <w:lvlJc w:val="left"/>
      <w:lvlText w:val="•"/>
      <w:numFmt w:val="bullet"/>
      <w:start w:val="1"/>
    </w:lvl>
  </w:abstractNum>
  <w:abstractNum w:abstractNumId="33">
    <w:nsid w:val="580BD78F"/>
    <w:multiLevelType w:val="hybridMultilevel"/>
    <w:lvl w:ilvl="0">
      <w:lvlJc w:val="left"/>
      <w:lvlText w:val="•"/>
      <w:numFmt w:val="bullet"/>
      <w:start w:val="1"/>
    </w:lvl>
  </w:abstractNum>
  <w:abstractNum w:abstractNumId="34">
    <w:nsid w:val="153EA438"/>
    <w:multiLevelType w:val="hybridMultilevel"/>
    <w:lvl w:ilvl="0">
      <w:lvlJc w:val="left"/>
      <w:lvlText w:val="•"/>
      <w:numFmt w:val="bullet"/>
      <w:start w:val="1"/>
    </w:lvl>
  </w:abstractNum>
  <w:abstractNum w:abstractNumId="35">
    <w:nsid w:val="3855585C"/>
    <w:multiLevelType w:val="hybridMultilevel"/>
    <w:lvl w:ilvl="0">
      <w:lvlJc w:val="left"/>
      <w:lvlText w:val="•"/>
      <w:numFmt w:val="bullet"/>
      <w:start w:val="1"/>
    </w:lvl>
  </w:abstractNum>
  <w:abstractNum w:abstractNumId="36">
    <w:nsid w:val="70A64E2A"/>
    <w:multiLevelType w:val="hybridMultilevel"/>
    <w:lvl w:ilvl="0">
      <w:lvlJc w:val="left"/>
      <w:lvlText w:val="•"/>
      <w:numFmt w:val="bullet"/>
      <w:start w:val="1"/>
    </w:lvl>
  </w:abstractNum>
  <w:abstractNum w:abstractNumId="37">
    <w:nsid w:val="6A2342EC"/>
    <w:multiLevelType w:val="hybridMultilevel"/>
    <w:lvl w:ilvl="0">
      <w:lvlJc w:val="left"/>
      <w:lvlText w:val="•"/>
      <w:numFmt w:val="bullet"/>
      <w:start w:val="1"/>
    </w:lvl>
  </w:abstractNum>
  <w:abstractNum w:abstractNumId="38">
    <w:nsid w:val="2A487CB0"/>
    <w:multiLevelType w:val="hybridMultilevel"/>
    <w:lvl w:ilvl="0">
      <w:lvlJc w:val="left"/>
      <w:lvlText w:val="•"/>
      <w:numFmt w:val="bullet"/>
      <w:start w:val="1"/>
    </w:lvl>
  </w:abstractNum>
  <w:abstractNum w:abstractNumId="39">
    <w:nsid w:val="1D4ED43B"/>
    <w:multiLevelType w:val="hybridMultilevel"/>
    <w:lvl w:ilvl="0">
      <w:lvlJc w:val="left"/>
      <w:lvlText w:val="•"/>
      <w:numFmt w:val="bullet"/>
      <w:start w:val="1"/>
    </w:lvl>
  </w:abstractNum>
  <w:abstractNum w:abstractNumId="40">
    <w:nsid w:val="725A06FB"/>
    <w:multiLevelType w:val="hybridMultilevel"/>
    <w:lvl w:ilvl="0">
      <w:lvlJc w:val="left"/>
      <w:lvlText w:val="•"/>
      <w:numFmt w:val="bullet"/>
      <w:start w:val="1"/>
    </w:lvl>
  </w:abstractNum>
  <w:abstractNum w:abstractNumId="41">
    <w:nsid w:val="2CD89A32"/>
    <w:multiLevelType w:val="hybridMultilevel"/>
    <w:lvl w:ilvl="0">
      <w:lvlJc w:val="left"/>
      <w:lvlText w:val="•"/>
      <w:numFmt w:val="bullet"/>
      <w:start w:val="1"/>
    </w:lvl>
  </w:abstractNum>
  <w:abstractNum w:abstractNumId="42">
    <w:nsid w:val="57E4CCAF"/>
    <w:multiLevelType w:val="hybridMultilevel"/>
    <w:lvl w:ilvl="0">
      <w:lvlJc w:val="left"/>
      <w:lvlText w:val="•"/>
      <w:numFmt w:val="bullet"/>
      <w:start w:val="1"/>
    </w:lvl>
  </w:abstractNum>
  <w:abstractNum w:abstractNumId="43">
    <w:nsid w:val="7A6D8D3C"/>
    <w:multiLevelType w:val="hybridMultilevel"/>
    <w:lvl w:ilvl="0">
      <w:lvlJc w:val="left"/>
      <w:lvlText w:val="•"/>
      <w:numFmt w:val="bullet"/>
      <w:start w:val="1"/>
    </w:lvl>
  </w:abstractNum>
  <w:abstractNum w:abstractNumId="44">
    <w:nsid w:val="4B588F54"/>
    <w:multiLevelType w:val="hybridMultilevel"/>
    <w:lvl w:ilvl="0">
      <w:lvlJc w:val="left"/>
      <w:lvlText w:val="•"/>
      <w:numFmt w:val="bullet"/>
      <w:start w:val="1"/>
    </w:lvl>
  </w:abstractNum>
  <w:abstractNum w:abstractNumId="45">
    <w:nsid w:val="542289EC"/>
    <w:multiLevelType w:val="hybridMultilevel"/>
    <w:lvl w:ilvl="0">
      <w:lvlJc w:val="left"/>
      <w:lvlText w:val="1"/>
      <w:numFmt w:val="bullet"/>
      <w:start w:val="1"/>
    </w:lvl>
  </w:abstractNum>
  <w:abstractNum w:abstractNumId="46">
    <w:nsid w:val="6DE91B18"/>
    <w:multiLevelType w:val="hybridMultilevel"/>
    <w:lvl w:ilvl="0">
      <w:lvlJc w:val="left"/>
      <w:lvlText w:val="2"/>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62" Type="http://schemas.openxmlformats.org/officeDocument/2006/relationships/image" Target="media/image48.png"/><Relationship Id="rId63" Type="http://schemas.openxmlformats.org/officeDocument/2006/relationships/image" Target="media/image49.jpeg"/><Relationship Id="rId64" Type="http://schemas.openxmlformats.org/officeDocument/2006/relationships/image" Target="media/image50.png"/><Relationship Id="rId65" Type="http://schemas.openxmlformats.org/officeDocument/2006/relationships/image" Target="media/image51.png"/><Relationship Id="rId66" Type="http://schemas.openxmlformats.org/officeDocument/2006/relationships/image" Target="media/image52.png"/><Relationship Id="rId67" Type="http://schemas.openxmlformats.org/officeDocument/2006/relationships/image" Target="media/image53.png"/><Relationship Id="rId68" Type="http://schemas.openxmlformats.org/officeDocument/2006/relationships/image" Target="media/image54.png"/><Relationship Id="rId69" Type="http://schemas.openxmlformats.org/officeDocument/2006/relationships/image" Target="media/image55.png"/><Relationship Id="rId70" Type="http://schemas.openxmlformats.org/officeDocument/2006/relationships/image" Target="media/image56.jpeg"/><Relationship Id="rId71" Type="http://schemas.openxmlformats.org/officeDocument/2006/relationships/image" Target="media/image57.png"/><Relationship Id="rId72" Type="http://schemas.openxmlformats.org/officeDocument/2006/relationships/image" Target="media/image58.png"/><Relationship Id="rId73" Type="http://schemas.openxmlformats.org/officeDocument/2006/relationships/image" Target="media/image59.png"/><Relationship Id="rId74" Type="http://schemas.openxmlformats.org/officeDocument/2006/relationships/image" Target="media/image60.png"/><Relationship Id="rId75" Type="http://schemas.openxmlformats.org/officeDocument/2006/relationships/image" Target="media/image61.png"/><Relationship Id="rId76" Type="http://schemas.openxmlformats.org/officeDocument/2006/relationships/image" Target="media/image62.png"/><Relationship Id="rId77" Type="http://schemas.openxmlformats.org/officeDocument/2006/relationships/image" Target="media/image63.png"/><Relationship Id="rId79" Type="http://schemas.openxmlformats.org/officeDocument/2006/relationships/image" Target="media/image64.png"/><Relationship Id="rId80" Type="http://schemas.openxmlformats.org/officeDocument/2006/relationships/image" Target="media/image65.png"/><Relationship Id="rId81" Type="http://schemas.openxmlformats.org/officeDocument/2006/relationships/image" Target="media/image66.png"/><Relationship Id="rId82" Type="http://schemas.openxmlformats.org/officeDocument/2006/relationships/image" Target="media/image67.png"/><Relationship Id="rId83" Type="http://schemas.openxmlformats.org/officeDocument/2006/relationships/image" Target="media/image68.png"/><Relationship Id="rId84" Type="http://schemas.openxmlformats.org/officeDocument/2006/relationships/image" Target="media/image69.png"/><Relationship Id="rId85" Type="http://schemas.openxmlformats.org/officeDocument/2006/relationships/image" Target="media/image70.png"/><Relationship Id="rId86" Type="http://schemas.openxmlformats.org/officeDocument/2006/relationships/image" Target="media/image71.png"/><Relationship Id="rId87" Type="http://schemas.openxmlformats.org/officeDocument/2006/relationships/image" Target="media/image72.png"/><Relationship Id="rId88" Type="http://schemas.openxmlformats.org/officeDocument/2006/relationships/image" Target="media/image73.png"/><Relationship Id="rId89" Type="http://schemas.openxmlformats.org/officeDocument/2006/relationships/image" Target="media/image74.png"/><Relationship Id="rId90" Type="http://schemas.openxmlformats.org/officeDocument/2006/relationships/image" Target="media/image75.png"/><Relationship Id="rId91" Type="http://schemas.openxmlformats.org/officeDocument/2006/relationships/image" Target="media/image76.png"/><Relationship Id="rId92" Type="http://schemas.openxmlformats.org/officeDocument/2006/relationships/image" Target="media/image77.png"/><Relationship Id="rId93" Type="http://schemas.openxmlformats.org/officeDocument/2006/relationships/image" Target="media/image78.png"/><Relationship Id="rId94" Type="http://schemas.openxmlformats.org/officeDocument/2006/relationships/image" Target="media/image79.png"/><Relationship Id="rId95" Type="http://schemas.openxmlformats.org/officeDocument/2006/relationships/image" Target="media/image80.png"/><Relationship Id="rId96" Type="http://schemas.openxmlformats.org/officeDocument/2006/relationships/image" Target="media/image81.png"/><Relationship Id="rId97" Type="http://schemas.openxmlformats.org/officeDocument/2006/relationships/image" Target="media/image82.png"/><Relationship Id="rId98" Type="http://schemas.openxmlformats.org/officeDocument/2006/relationships/image" Target="media/image83.png"/><Relationship Id="rId99" Type="http://schemas.openxmlformats.org/officeDocument/2006/relationships/image" Target="media/image84.png"/><Relationship Id="rId100" Type="http://schemas.openxmlformats.org/officeDocument/2006/relationships/image" Target="media/image85.png"/><Relationship Id="rId108" Type="http://schemas.openxmlformats.org/officeDocument/2006/relationships/image" Target="media/image86.png"/><Relationship Id="rId109" Type="http://schemas.openxmlformats.org/officeDocument/2006/relationships/image" Target="media/image87.png"/><Relationship Id="rId110" Type="http://schemas.openxmlformats.org/officeDocument/2006/relationships/image" Target="media/image88.png"/><Relationship Id="rId111" Type="http://schemas.openxmlformats.org/officeDocument/2006/relationships/image" Target="media/image89.jpeg"/><Relationship Id="rId112" Type="http://schemas.openxmlformats.org/officeDocument/2006/relationships/image" Target="media/image90.png"/><Relationship Id="rId113" Type="http://schemas.openxmlformats.org/officeDocument/2006/relationships/image" Target="media/image91.png"/><Relationship Id="rId114" Type="http://schemas.openxmlformats.org/officeDocument/2006/relationships/image" Target="media/image92.png"/><Relationship Id="rId115" Type="http://schemas.openxmlformats.org/officeDocument/2006/relationships/image" Target="media/image93.png"/><Relationship Id="rId116" Type="http://schemas.openxmlformats.org/officeDocument/2006/relationships/image" Target="media/image94.png"/><Relationship Id="rId117" Type="http://schemas.openxmlformats.org/officeDocument/2006/relationships/image" Target="media/image95.png"/><Relationship Id="rId118" Type="http://schemas.openxmlformats.org/officeDocument/2006/relationships/image" Target="media/image96.png"/><Relationship Id="rId119" Type="http://schemas.openxmlformats.org/officeDocument/2006/relationships/image" Target="media/image97.png"/><Relationship Id="rId120" Type="http://schemas.openxmlformats.org/officeDocument/2006/relationships/image" Target="media/image98.png"/><Relationship Id="rId121" Type="http://schemas.openxmlformats.org/officeDocument/2006/relationships/image" Target="media/image99.png"/><Relationship Id="rId122" Type="http://schemas.openxmlformats.org/officeDocument/2006/relationships/image" Target="media/image100.png"/><Relationship Id="rId123" Type="http://schemas.openxmlformats.org/officeDocument/2006/relationships/image" Target="media/image101.png"/><Relationship Id="rId55" Type="http://schemas.openxmlformats.org/officeDocument/2006/relationships/hyperlink" Target="http://www.sec.gov/ix?doc=/Archives/edgar/data/0001672619/000119312526088232/elvn-20251231.htm" TargetMode="External"/><Relationship Id="rId56" Type="http://schemas.openxmlformats.org/officeDocument/2006/relationships/hyperlink" Target="http://www.sec.gov/ix?doc=/Archives/edgar/data/0001672619/000119312526211982/elvn-20260331.htm" TargetMode="External"/><Relationship Id="rId57" Type="http://schemas.openxmlformats.org/officeDocument/2006/relationships/hyperlink" Target="http://www.sec.gov/ix?doc=/Archives/edgar/data/0001672619/000119312526182045/d948512ddef14a.htm" TargetMode="External"/><Relationship Id="rId58" Type="http://schemas.openxmlformats.org/officeDocument/2006/relationships/hyperlink" Target="http://www.sec.gov/ix?doc=/Archives/edgar/data/0001672619/000119312526005535/d28332d8k.htm" TargetMode="External"/><Relationship Id="rId59" Type="http://schemas.openxmlformats.org/officeDocument/2006/relationships/hyperlink" Target="http://www.sec.gov/ix?doc=/Archives/edgar/data/1672619/000119312526264085/d152745d8k.htm" TargetMode="External"/><Relationship Id="rId60" Type="http://schemas.openxmlformats.org/officeDocument/2006/relationships/hyperlink" Target="http://www.sec.gov/ix?doc=/Archives/edgar/data/1672619/000119312526266731/d202685d8k.htm" TargetMode="External"/><Relationship Id="rId61" Type="http://schemas.openxmlformats.org/officeDocument/2006/relationships/hyperlink" Target="http://www.sec.gov/Archives/edgar/data/1672619/000119312520067117/d886378d8a12b.htm" TargetMode="External"/><Relationship Id="rId78" Type="http://schemas.openxmlformats.org/officeDocument/2006/relationships/hyperlink" Target="http://www.sec.gov/ix?doc=/Archives/edgar/data/0001672619/000095017025038758/elvn-20241231.htm" TargetMode="External"/><Relationship Id="rId101" Type="http://schemas.openxmlformats.org/officeDocument/2006/relationships/hyperlink" Target="http://www.sec.gov/ix?doc=/Archives/edgar/data/0001672619/000095017025071412/elvn-20250331.htm" TargetMode="External"/><Relationship Id="rId102" Type="http://schemas.openxmlformats.org/officeDocument/2006/relationships/hyperlink" Target="http://www.sec.gov/ix?doc=/Archives/edgar/data/1672619/000119312525179845/elvn-20250630.htm" TargetMode="External"/><Relationship Id="rId103" Type="http://schemas.openxmlformats.org/officeDocument/2006/relationships/hyperlink" Target="http://www.sec.gov/ix?doc=/Archives/edgar/data/1672619/000095017025038758/elvn-20241231.htm" TargetMode="External"/><Relationship Id="rId104" Type="http://schemas.openxmlformats.org/officeDocument/2006/relationships/hyperlink" Target="http://www.sec.gov/ix?doc=/Archives/edgar/data/0001672619/000119312525100456/d906323ddef14a.htm" TargetMode="External"/><Relationship Id="rId105" Type="http://schemas.openxmlformats.org/officeDocument/2006/relationships/hyperlink" Target="http://www.sec.gov/ix?doc=/Archives/edgar/data/0001672619/000119312525140285/d877944d8k.htm" TargetMode="External"/><Relationship Id="rId106" Type="http://schemas.openxmlformats.org/officeDocument/2006/relationships/hyperlink" Target="http://www.sec.gov/ix?doc=/Archives/edgar/data/0001672619/000119312525141085/d150245d8k.htm" TargetMode="External"/><Relationship Id="rId107" Type="http://schemas.openxmlformats.org/officeDocument/2006/relationships/hyperlink" Target="http://www.sec.gov/ix?doc=/Archives/edgar/data/0001672619/000119312525146874/d80015d8k.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2026-06-12T16:06:58Z</dcterms:created>
  <dcterms:modified xsi:type="dcterms:W3CDTF">2026-06-12T16:06:58Z</dcterms:modified>
</cp:coreProperties>
</file>