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Enliven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6200 Lookout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Boulder</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720-647-8519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Private Investments VII, LP</w:t>
      </w:r>
    </w:p>
    <w:p>
      <w:pPr>
        <w:spacing w:after="0" w:line="56"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272322</w:t>
            </w:r>
          </w:p>
        </w:tc>
        <w:tc>
          <w:tcPr>
            <w:tcW w:w="13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11535559.92</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69822989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06/15/2026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02/23/2023 Merger</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272322</w:t>
      </w:r>
      <w:r>
        <w:rPr>
          <w:sz w:val="20"/>
          <w:szCs w:val="20"/>
          <w:color w:val="auto"/>
        </w:rPr>
        <w:tab/>
      </w:r>
      <w:r>
        <w:rPr>
          <w:rFonts w:ascii="Times New Roman" w:cs="Times New Roman" w:eastAsia="Times New Roman" w:hAnsi="Times New Roman"/>
          <w:sz w:val="21"/>
          <w:szCs w:val="21"/>
          <w:color w:val="auto"/>
        </w:rPr>
        <w:t>02/23/2023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OrbiMed Capital GP VII LLC is the general partner of OrbiMed Private Investments VII, LP. OrbiMed Advisors LLC is the managing member of OrbiMed Capital GP VII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40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VII, LP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2026-06-15T20:22:56Z</dcterms:created>
  <dcterms:modified xsi:type="dcterms:W3CDTF">2026-06-15T20:22:56Z</dcterms:modified>
</cp:coreProperties>
</file>