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lvn-20260630.htm"/>
      <w:bookmarkStart w:id="1" w:name="kselvn20260630"/>
      <w:bookmarkEnd w:id="0"/>
      <w:bookmarkEnd w:id="1"/>
      <w:r>
        <w:rPr/>
        <w:t> </w:t>
      </w:r>
    </w:p>
    <w:p>
      <w:pPr>
        <w:pStyle w:val="TextBody"/>
        <w:pBdr>
          <w:top w:val="double" w:sz="6" w:space="1" w:color="000000"/>
        </w:pBdr>
        <w:bidi w:val="0"/>
        <w:jc w:val="left"/>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sans-serif" w:hAnsi="sans-serif"/>
          <w:b/>
          <w:color w:val="000000"/>
          <w:sz w:val="36"/>
        </w:rPr>
      </w:pPr>
      <w:r>
        <w:rPr>
          <w:rFonts w:ascii="sans-serif" w:hAnsi="sans-serif"/>
          <w:b/>
          <w:color w:val="000000"/>
          <w:sz w:val="36"/>
        </w:rPr>
        <w:t>FORM 10-Q</w:t>
      </w:r>
    </w:p>
    <w:p>
      <w:pPr>
        <w:pStyle w:val="TextBody"/>
        <w:pBdr>
          <w:bottom w:val="single" w:sz="4" w:space="1" w:color="000000"/>
        </w:pBdr>
        <w:bidi w:val="0"/>
        <w:spacing w:before="0" w:after="120"/>
        <w:jc w:val="center"/>
        <w:rPr/>
      </w:pPr>
      <w:r>
        <w:rPr/>
        <w:t> </w:t>
      </w:r>
    </w:p>
    <w:p>
      <w:pPr>
        <w:pStyle w:val="TextBody"/>
        <w:bidi w:val="0"/>
        <w:jc w:val="left"/>
        <w:rPr>
          <w:rFonts w:ascii="sans-serif" w:hAnsi="sans-serif"/>
          <w:b/>
          <w:color w:val="000000"/>
          <w:sz w:val="16"/>
        </w:rPr>
      </w:pPr>
      <w:r>
        <w:rPr>
          <w:rFonts w:ascii="sans-serif" w:hAnsi="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QUARTERLY REPORT PURSUANT TO SECTION 13 OR 15(d) OF THE SECURITIES EXCHANGE ACT OF 1934</w:t>
            </w:r>
          </w:p>
        </w:tc>
      </w:tr>
    </w:tbl>
    <w:p>
      <w:pPr>
        <w:pStyle w:val="TextBody"/>
        <w:bidi w:val="0"/>
        <w:spacing w:before="120" w:after="283"/>
        <w:jc w:val="center"/>
        <w:rPr>
          <w:rFonts w:ascii="sans-serif" w:hAnsi="sans-serif"/>
          <w:b/>
          <w:color w:val="000000"/>
          <w:sz w:val="20"/>
        </w:rPr>
      </w:pPr>
      <w:r>
        <w:rPr>
          <w:rFonts w:ascii="sans-serif" w:hAnsi="sans-serif"/>
          <w:b/>
          <w:color w:val="000000"/>
          <w:sz w:val="20"/>
        </w:rPr>
        <w:t>For the quarterly period ended June 30, 2026</w:t>
      </w:r>
    </w:p>
    <w:p>
      <w:pPr>
        <w:pStyle w:val="TextBody"/>
        <w:bidi w:val="0"/>
        <w:spacing w:before="120" w:after="283"/>
        <w:jc w:val="center"/>
        <w:rPr>
          <w:rFonts w:ascii="sans-serif" w:hAnsi="sans-serif"/>
          <w:b/>
          <w:color w:val="000000"/>
          <w:sz w:val="20"/>
        </w:rPr>
      </w:pPr>
      <w:r>
        <w:rPr>
          <w:rFonts w:ascii="sans-serif" w:hAnsi="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sans-serif" w:hAnsi="sans-serif"/>
                <w:b/>
                <w:color w:val="000000"/>
                <w:sz w:val="20"/>
              </w:rPr>
            </w:pPr>
            <w:r>
              <w:rPr>
                <w:rFonts w:ascii="sans-serif" w:hAnsi="sans-serif"/>
                <w:b/>
                <w:color w:val="000000"/>
                <w:sz w:val="20"/>
              </w:rPr>
              <w:t>TRANSITION REPORT PURSUANT TO SECTION 13 OR 15(d) OF THE SECURITIES EXCHANGE ACT OF 1934</w:t>
            </w:r>
          </w:p>
        </w:tc>
      </w:tr>
    </w:tbl>
    <w:p>
      <w:pPr>
        <w:pStyle w:val="TextBody"/>
        <w:bidi w:val="0"/>
        <w:spacing w:before="120" w:after="283"/>
        <w:jc w:val="center"/>
        <w:rPr>
          <w:rFonts w:ascii="sans-serif" w:hAnsi="sans-serif"/>
          <w:b/>
          <w:color w:val="000000"/>
          <w:sz w:val="20"/>
        </w:rPr>
      </w:pPr>
      <w:r>
        <w:rPr>
          <w:rFonts w:ascii="sans-serif" w:hAnsi="sans-serif"/>
          <w:b/>
          <w:color w:val="000000"/>
          <w:sz w:val="20"/>
        </w:rPr>
        <w:t>For the transition period from _________ to _________</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 001-39247</w:t>
      </w:r>
    </w:p>
    <w:p>
      <w:pPr>
        <w:pStyle w:val="TextBody"/>
        <w:pBdr>
          <w:bottom w:val="single" w:sz="4" w:space="1" w:color="000000"/>
        </w:pBdr>
        <w:bidi w:val="0"/>
        <w:spacing w:before="60" w:after="120"/>
        <w:jc w:val="center"/>
        <w:rPr/>
      </w:pPr>
      <w:r>
        <w:rPr/>
        <w:t> </w:t>
      </w:r>
    </w:p>
    <w:p>
      <w:pPr>
        <w:pStyle w:val="TextBody"/>
        <w:bidi w:val="0"/>
        <w:jc w:val="center"/>
        <w:rPr>
          <w:rFonts w:ascii="sans-serif" w:hAnsi="sans-serif"/>
          <w:b/>
          <w:color w:val="000000"/>
          <w:sz w:val="36"/>
        </w:rPr>
      </w:pPr>
      <w:r>
        <w:rPr>
          <w:rFonts w:ascii="sans-serif" w:hAnsi="sans-serif"/>
          <w:b/>
          <w:color w:val="000000"/>
          <w:sz w:val="36"/>
        </w:rPr>
        <w:t>ENLIVEN THERAPEUTICS, INC.</w:t>
      </w:r>
    </w:p>
    <w:p>
      <w:pPr>
        <w:pStyle w:val="TextBody"/>
        <w:bidi w:val="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7187" w:type="dxa"/>
        <w:jc w:val="left"/>
        <w:tblInd w:w="0" w:type="dxa"/>
        <w:tblLayout w:type="fixed"/>
        <w:tblCellMar>
          <w:top w:w="28" w:type="dxa"/>
          <w:left w:w="28" w:type="dxa"/>
          <w:bottom w:w="28" w:type="dxa"/>
          <w:right w:w="28" w:type="dxa"/>
        </w:tblCellMar>
      </w:tblPr>
      <w:tblGrid>
        <w:gridCol w:w="4486"/>
        <w:gridCol w:w="2701"/>
      </w:tblGrid>
      <w:tr>
        <w:trPr/>
        <w:tc>
          <w:tcPr>
            <w:tcW w:w="448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Delaware</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81-1523849</w:t>
            </w:r>
          </w:p>
        </w:tc>
      </w:tr>
      <w:tr>
        <w:trP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(State or other jurisdiction of incorporation or organization)</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(I.R.S. Employer Identification No.)</w:t>
            </w:r>
          </w:p>
        </w:tc>
      </w:tr>
      <w:tr>
        <w:trPr/>
        <w:tc>
          <w:tcPr>
            <w:tcW w:w="4486" w:type="dxa"/>
            <w:tcBorders/>
            <w:tcMar>
              <w:top w:w="0" w:type="dxa"/>
              <w:left w:w="0" w:type="dxa"/>
              <w:bottom w:w="0" w:type="dxa"/>
              <w:right w:w="0" w:type="dxa"/>
            </w:tcMar>
            <w:vAlign w:val="center"/>
          </w:tcPr>
          <w:p>
            <w:pPr>
              <w:pStyle w:val="TableContents"/>
              <w:bidi w:val="0"/>
              <w:spacing w:before="60" w:after="283"/>
              <w:jc w:val="center"/>
              <w:rPr>
                <w:rFonts w:ascii="sans-serif" w:hAnsi="sans-serif"/>
                <w:b/>
                <w:color w:val="000000"/>
                <w:sz w:val="16"/>
              </w:rPr>
            </w:pPr>
            <w:r>
              <w:rPr>
                <w:rFonts w:ascii="sans-serif" w:hAnsi="sans-serif"/>
                <w:b/>
                <w:color w:val="000000"/>
                <w:sz w:val="16"/>
              </w:rPr>
              <w:t>205 Park Road</w:t>
            </w:r>
          </w:p>
          <w:p>
            <w:pPr>
              <w:pStyle w:val="TableContents"/>
              <w:bidi w:val="0"/>
              <w:spacing w:before="0" w:after="283"/>
              <w:jc w:val="center"/>
              <w:rPr>
                <w:rFonts w:ascii="Times New Roman" w:hAnsi="Times New Roman"/>
                <w:sz w:val="20"/>
              </w:rPr>
            </w:pPr>
            <w:r>
              <w:rPr>
                <w:rFonts w:ascii="sans-serif" w:hAnsi="sans-serif"/>
                <w:b/>
                <w:color w:val="000000"/>
                <w:sz w:val="16"/>
              </w:rPr>
              <w:t>Burlingame, CA</w:t>
            </w:r>
            <w:r>
              <w:rPr>
                <w:rFonts w:ascii="Times New Roman" w:hAnsi="Times New Roman"/>
                <w:color w:val="000000"/>
                <w:sz w:val="20"/>
              </w:rPr>
              <w:t xml:space="preserve">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94010</w:t>
            </w:r>
          </w:p>
        </w:tc>
      </w:tr>
      <w:tr>
        <w:trP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(Address of principal executive offices)</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(Zip Code)</w:t>
            </w:r>
          </w:p>
        </w:tc>
      </w:tr>
    </w:tbl>
    <w:p>
      <w:pPr>
        <w:pStyle w:val="TextBody"/>
        <w:bidi w:val="0"/>
        <w:spacing w:before="80" w:after="283"/>
        <w:jc w:val="center"/>
        <w:rPr>
          <w:rFonts w:ascii="sans-serif" w:hAnsi="sans-serif"/>
          <w:b/>
          <w:color w:val="000000"/>
          <w:sz w:val="20"/>
        </w:rPr>
      </w:pPr>
      <w:r>
        <w:rPr>
          <w:rFonts w:ascii="sans-serif" w:hAnsi="sans-serif"/>
          <w:b/>
          <w:color w:val="000000"/>
          <w:sz w:val="20"/>
        </w:rPr>
        <w:t>Registrant’s telephone number, including area code: (650) 547-5814</w:t>
      </w:r>
    </w:p>
    <w:p>
      <w:pPr>
        <w:pStyle w:val="TextBody"/>
        <w:pBdr>
          <w:bottom w:val="single" w:sz="4" w:space="1" w:color="000000"/>
        </w:pBdr>
        <w:bidi w:val="0"/>
        <w:spacing w:before="60" w:after="283"/>
        <w:jc w:val="center"/>
        <w:rPr/>
      </w:pPr>
      <w:r>
        <w:rPr/>
        <w:t> </w:t>
      </w:r>
    </w:p>
    <w:p>
      <w:pPr>
        <w:pStyle w:val="TextBody"/>
        <w:bidi w:val="0"/>
        <w:jc w:val="center"/>
        <w:rPr>
          <w:rFonts w:ascii="sans-serif" w:hAnsi="sans-serif"/>
          <w:b/>
          <w:color w:val="000000"/>
          <w:sz w:val="18"/>
        </w:rPr>
      </w:pPr>
      <w:r>
        <w:rPr>
          <w:rFonts w:ascii="sans-serif" w:hAnsi="sans-serif"/>
          <w:b/>
          <w:color w:val="000000"/>
          <w:sz w:val="18"/>
        </w:rPr>
        <w:t>Not applicable</w:t>
      </w:r>
    </w:p>
    <w:p>
      <w:pPr>
        <w:pStyle w:val="TextBody"/>
        <w:bidi w:val="0"/>
        <w:spacing w:before="80" w:after="283"/>
        <w:jc w:val="center"/>
        <w:rPr>
          <w:rFonts w:ascii="Times New Roman" w:hAnsi="Times New Roman"/>
          <w:sz w:val="20"/>
        </w:rPr>
      </w:pPr>
      <w:bookmarkStart w:id="2" w:name="t0"/>
      <w:bookmarkEnd w:id="2"/>
      <w:r>
        <w:rPr>
          <w:rFonts w:ascii="sans-serif" w:hAnsi="sans-serif"/>
          <w:color w:val="000000"/>
          <w:sz w:val="18"/>
        </w:rPr>
        <w:t>(Former name,</w:t>
      </w:r>
      <w:r>
        <w:rPr>
          <w:rFonts w:ascii="Times New Roman" w:hAnsi="Times New Roman"/>
          <w:color w:val="000000"/>
          <w:sz w:val="20"/>
        </w:rPr>
        <w:t xml:space="preserve"> </w:t>
      </w:r>
      <w:r>
        <w:rPr>
          <w:rFonts w:ascii="sans-serif" w:hAnsi="sans-serif"/>
          <w:color w:val="000000"/>
          <w:sz w:val="18"/>
        </w:rPr>
        <w:t>former address, and former fiscal year, if changed since last report)</w:t>
      </w:r>
    </w:p>
    <w:p>
      <w:pPr>
        <w:pStyle w:val="TextBody"/>
        <w:bidi w:val="0"/>
        <w:spacing w:before="80" w:after="283"/>
        <w:jc w:val="left"/>
        <w:rPr>
          <w:rFonts w:ascii="Times New Roman" w:hAnsi="Times New Roman"/>
          <w:sz w:val="20"/>
        </w:rPr>
      </w:pPr>
      <w:r>
        <w:rPr>
          <w:rFonts w:ascii="sans-serif" w:hAnsi="sans-serif"/>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9760" w:type="dxa"/>
        <w:jc w:val="left"/>
        <w:tblInd w:w="0" w:type="dxa"/>
        <w:tblLayout w:type="fixed"/>
        <w:tblCellMar>
          <w:top w:w="28" w:type="dxa"/>
          <w:left w:w="28" w:type="dxa"/>
          <w:bottom w:w="28" w:type="dxa"/>
          <w:right w:w="28" w:type="dxa"/>
        </w:tblCellMar>
      </w:tblPr>
      <w:tblGrid>
        <w:gridCol w:w="4141"/>
        <w:gridCol w:w="146"/>
        <w:gridCol w:w="1051"/>
        <w:gridCol w:w="146"/>
        <w:gridCol w:w="427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Trading</w:t>
            </w:r>
          </w:p>
          <w:p>
            <w:pPr>
              <w:pStyle w:val="TableContents"/>
              <w:bidi w:val="0"/>
              <w:spacing w:before="0" w:after="283"/>
              <w:jc w:val="center"/>
              <w:rPr>
                <w:rFonts w:ascii="sans-serif" w:hAnsi="sans-serif"/>
                <w:b/>
                <w:color w:val="000000"/>
                <w:sz w:val="16"/>
              </w:rPr>
            </w:pPr>
            <w:r>
              <w:rPr>
                <w:rFonts w:ascii="sans-serif" w:hAnsi="sans-serif"/>
                <w:b/>
                <w:color w:val="000000"/>
                <w:sz w:val="16"/>
              </w:rPr>
              <w:t>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41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ELVN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The Nasdaq Global Select Market</w:t>
            </w:r>
          </w:p>
        </w:tc>
      </w:tr>
    </w:tbl>
    <w:p>
      <w:pPr>
        <w:pStyle w:val="TextBody"/>
        <w:bidi w:val="0"/>
        <w:spacing w:before="120" w:after="283"/>
        <w:jc w:val="left"/>
        <w:rPr>
          <w:rFonts w:ascii="Times New Roman" w:hAnsi="Times New Roman"/>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8"/>
        </w:rPr>
        <w:t>No ☐</w:t>
      </w:r>
    </w:p>
    <w:p>
      <w:pPr>
        <w:pStyle w:val="TextBody"/>
        <w:bidi w:val="0"/>
        <w:spacing w:before="80" w:after="283"/>
        <w:jc w:val="left"/>
        <w:rPr>
          <w:rFonts w:ascii="Times New Roman" w:hAnsi="Times New Roman"/>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8"/>
        </w:rPr>
        <w:t>No ☐</w:t>
      </w:r>
    </w:p>
    <w:p>
      <w:pPr>
        <w:pStyle w:val="TextBody"/>
        <w:bidi w:val="0"/>
        <w:spacing w:before="8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307" w:type="dxa"/>
        <w:jc w:val="left"/>
        <w:tblInd w:w="0" w:type="dxa"/>
        <w:tblLayout w:type="fixed"/>
        <w:tblCellMar>
          <w:top w:w="28" w:type="dxa"/>
          <w:left w:w="28" w:type="dxa"/>
          <w:bottom w:w="28" w:type="dxa"/>
          <w:right w:w="28" w:type="dxa"/>
        </w:tblCellMar>
      </w:tblPr>
      <w:tblGrid>
        <w:gridCol w:w="2611"/>
        <w:gridCol w:w="146"/>
        <w:gridCol w:w="316"/>
        <w:gridCol w:w="146"/>
        <w:gridCol w:w="2581"/>
        <w:gridCol w:w="146"/>
        <w:gridCol w:w="36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sans-serif" w:hAnsi="sans-serif"/>
          <w:color w:val="000000"/>
          <w:sz w:val="18"/>
        </w:rPr>
      </w:pPr>
      <w:r>
        <w:rPr>
          <w:rFonts w:ascii="sans-serif" w:hAnsi="sans-serif"/>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sans-serif" w:hAnsi="sans-serif"/>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sans-serif" w:hAnsi="sans-serif"/>
          <w:color w:val="000000"/>
          <w:sz w:val="18"/>
        </w:rPr>
        <w:t>As of July 28, 2026, the registrant had 73,270,761</w:t>
      </w:r>
      <w:r>
        <w:rPr>
          <w:rFonts w:ascii="Times New Roman" w:hAnsi="Times New Roman"/>
          <w:color w:val="000000"/>
          <w:sz w:val="20"/>
        </w:rPr>
        <w:t xml:space="preserve"> </w:t>
      </w:r>
      <w:r>
        <w:rPr>
          <w:rFonts w:ascii="sans-serif" w:hAnsi="sans-serif"/>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1"/>
        <w:gridCol w:w="8602"/>
        <w:gridCol w:w="602"/>
      </w:tblGrid>
      <w:tr>
        <w:trPr/>
        <w:tc>
          <w:tcPr>
            <w:tcW w:w="1001" w:type="dxa"/>
            <w:tcBorders/>
            <w:vAlign w:val="center"/>
          </w:tcPr>
          <w:p>
            <w:pPr>
              <w:pStyle w:val="TableContents"/>
              <w:bidi w:val="0"/>
              <w:spacing w:before="0" w:after="283"/>
              <w:jc w:val="left"/>
              <w:rPr>
                <w:sz w:val="4"/>
                <w:szCs w:val="4"/>
              </w:rPr>
            </w:pPr>
            <w:r>
              <w:rPr>
                <w:sz w:val="4"/>
                <w:szCs w:val="4"/>
              </w:rPr>
            </w:r>
          </w:p>
        </w:tc>
        <w:tc>
          <w:tcPr>
            <w:tcW w:w="8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Page</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PART I.</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sans-serif" w:hAnsi="sans-serif"/>
                  <w:color w:val="0000FF"/>
                  <w:sz w:val="20"/>
                  <w:u w:val="single"/>
                </w:rPr>
                <w:t>FINANCIAL INFORMATION</w:t>
              </w:r>
            </w:hyperlink>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sans-serif" w:hAnsi="sans-serif"/>
                  <w:color w:val="0000FF"/>
                  <w:sz w:val="20"/>
                  <w:u w:val="single"/>
                </w:rPr>
                <w:t>Condensed Consolidated Financial Statements (Unaudited)</w:t>
              </w:r>
            </w:hyperlink>
          </w:p>
        </w:tc>
        <w:tc>
          <w:tcPr>
            <w:tcW w:w="602" w:type="dxa"/>
            <w:tcBorders/>
            <w:tcMar>
              <w:top w:w="0" w:type="dxa"/>
              <w:left w:w="0" w:type="dxa"/>
              <w:bottom w:w="0" w:type="dxa"/>
              <w:right w:w="0" w:type="dxa"/>
            </w:tcMar>
            <w:vAlign w:val="center"/>
          </w:tcPr>
          <w:p>
            <w:pPr>
              <w:pStyle w:val="TableContents"/>
              <w:bidi w:val="0"/>
              <w:spacing w:before="0" w:after="283"/>
              <w:ind w:left="0" w:right="0" w:firstLine="137"/>
              <w:jc w:val="right"/>
              <w:rPr>
                <w:rFonts w:ascii="sans-serif" w:hAnsi="sans-serif"/>
                <w:color w:val="000000"/>
                <w:sz w:val="20"/>
              </w:rPr>
            </w:pPr>
            <w:r>
              <w:rPr>
                <w:rFonts w:ascii="sans-serif" w:hAnsi="sans-serif"/>
                <w:color w:val="000000"/>
                <w:sz w:val="20"/>
              </w:rPr>
              <w:t>3</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sans-serif" w:hAnsi="sans-serif"/>
                  <w:color w:val="0000FF"/>
                  <w:sz w:val="20"/>
                  <w:u w:val="single"/>
                </w:rPr>
                <w:t>Condensed Consolidated Balance Sheets</w:t>
              </w:r>
            </w:hyperlink>
          </w:p>
        </w:tc>
        <w:tc>
          <w:tcPr>
            <w:tcW w:w="602" w:type="dxa"/>
            <w:tcBorders/>
            <w:tcMar>
              <w:top w:w="0" w:type="dxa"/>
              <w:left w:w="0" w:type="dxa"/>
              <w:bottom w:w="0" w:type="dxa"/>
              <w:right w:w="0" w:type="dxa"/>
            </w:tcMar>
            <w:vAlign w:val="center"/>
          </w:tcPr>
          <w:p>
            <w:pPr>
              <w:pStyle w:val="TableContents"/>
              <w:bidi w:val="0"/>
              <w:spacing w:before="0" w:after="283"/>
              <w:ind w:left="0" w:right="0" w:firstLine="137"/>
              <w:jc w:val="right"/>
              <w:rPr>
                <w:rFonts w:ascii="sans-serif" w:hAnsi="sans-serif"/>
                <w:color w:val="000000"/>
                <w:sz w:val="20"/>
              </w:rPr>
            </w:pPr>
            <w:r>
              <w:rPr>
                <w:rFonts w:ascii="sans-serif" w:hAnsi="sans-serif"/>
                <w:color w:val="000000"/>
                <w:sz w:val="20"/>
              </w:rPr>
              <w:t>3</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_comprehensive_loss">
              <w:r>
                <w:rPr>
                  <w:rStyle w:val="InternetLink"/>
                  <w:rFonts w:ascii="sans-serif" w:hAnsi="sans-serif"/>
                  <w:color w:val="0000FF"/>
                  <w:sz w:val="20"/>
                  <w:u w:val="single"/>
                </w:rPr>
                <w:t>Condensed Consolidated Statements of Operations and Comprehensive Loss</w:t>
              </w:r>
            </w:hyperlink>
          </w:p>
        </w:tc>
        <w:tc>
          <w:tcPr>
            <w:tcW w:w="602" w:type="dxa"/>
            <w:tcBorders/>
            <w:tcMar>
              <w:top w:w="0" w:type="dxa"/>
              <w:left w:w="0" w:type="dxa"/>
              <w:bottom w:w="0" w:type="dxa"/>
              <w:right w:w="0" w:type="dxa"/>
            </w:tcMar>
            <w:vAlign w:val="center"/>
          </w:tcPr>
          <w:p>
            <w:pPr>
              <w:pStyle w:val="TableContents"/>
              <w:bidi w:val="0"/>
              <w:spacing w:before="0" w:after="283"/>
              <w:ind w:left="0" w:right="0" w:firstLine="137"/>
              <w:jc w:val="right"/>
              <w:rPr>
                <w:rFonts w:ascii="sans-serif" w:hAnsi="sans-serif"/>
                <w:color w:val="000000"/>
                <w:sz w:val="20"/>
              </w:rPr>
            </w:pPr>
            <w:r>
              <w:rPr>
                <w:rFonts w:ascii="sans-serif" w:hAnsi="sans-serif"/>
                <w:color w:val="000000"/>
                <w:sz w:val="20"/>
              </w:rPr>
              <w:t>4</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nvertible_preferred_stock_s">
              <w:r>
                <w:rPr>
                  <w:rStyle w:val="InternetLink"/>
                  <w:rFonts w:ascii="sans-serif" w:hAnsi="sans-serif"/>
                  <w:color w:val="0000FF"/>
                  <w:sz w:val="20"/>
                  <w:u w:val="single"/>
                </w:rPr>
                <w:t>Condensed Consolidated Statements of Stockholders’ Equity</w:t>
              </w:r>
            </w:hyperlink>
          </w:p>
        </w:tc>
        <w:tc>
          <w:tcPr>
            <w:tcW w:w="602" w:type="dxa"/>
            <w:tcBorders/>
            <w:tcMar>
              <w:top w:w="0" w:type="dxa"/>
              <w:left w:w="0" w:type="dxa"/>
              <w:bottom w:w="0" w:type="dxa"/>
              <w:right w:w="0" w:type="dxa"/>
            </w:tcMar>
            <w:vAlign w:val="center"/>
          </w:tcPr>
          <w:p>
            <w:pPr>
              <w:pStyle w:val="TableContents"/>
              <w:bidi w:val="0"/>
              <w:spacing w:before="0" w:after="283"/>
              <w:ind w:left="0" w:right="0" w:firstLine="137"/>
              <w:jc w:val="right"/>
              <w:rPr>
                <w:rFonts w:ascii="sans-serif" w:hAnsi="sans-serif"/>
                <w:color w:val="000000"/>
                <w:sz w:val="20"/>
              </w:rPr>
            </w:pPr>
            <w:r>
              <w:rPr>
                <w:rFonts w:ascii="sans-serif" w:hAnsi="sans-serif"/>
                <w:color w:val="000000"/>
                <w:sz w:val="20"/>
              </w:rPr>
              <w:t>5</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sans-serif" w:hAnsi="sans-serif"/>
                  <w:color w:val="0000FF"/>
                  <w:sz w:val="20"/>
                  <w:u w:val="single"/>
                </w:rPr>
                <w:t>Condensed Consolidated Statements of Cash Flows</w:t>
              </w:r>
            </w:hyperlink>
          </w:p>
        </w:tc>
        <w:tc>
          <w:tcPr>
            <w:tcW w:w="602" w:type="dxa"/>
            <w:tcBorders/>
            <w:tcMar>
              <w:top w:w="0" w:type="dxa"/>
              <w:left w:w="0" w:type="dxa"/>
              <w:bottom w:w="0" w:type="dxa"/>
              <w:right w:w="0" w:type="dxa"/>
            </w:tcMar>
            <w:vAlign w:val="center"/>
          </w:tcPr>
          <w:p>
            <w:pPr>
              <w:pStyle w:val="TableContents"/>
              <w:bidi w:val="0"/>
              <w:spacing w:before="0" w:after="283"/>
              <w:ind w:left="0" w:right="0" w:firstLine="137"/>
              <w:jc w:val="right"/>
              <w:rPr>
                <w:rFonts w:ascii="sans-serif" w:hAnsi="sans-serif"/>
                <w:color w:val="000000"/>
                <w:sz w:val="20"/>
              </w:rPr>
            </w:pPr>
            <w:r>
              <w:rPr>
                <w:rFonts w:ascii="sans-serif" w:hAnsi="sans-serif"/>
                <w:color w:val="000000"/>
                <w:sz w:val="20"/>
              </w:rPr>
              <w:t>6</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sans-serif" w:hAnsi="sans-serif"/>
                  <w:color w:val="0000FF"/>
                  <w:sz w:val="20"/>
                  <w:u w:val="single"/>
                </w:rPr>
                <w:t>Notes to Unaudited Condensed Consolidated Financial Statements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sans-serif" w:hAnsi="sans-serif"/>
                  <w:color w:val="0000FF"/>
                  <w:sz w:val="20"/>
                  <w:u w:val="single"/>
                </w:rPr>
                <w:t>Management’s Discussion and Analysis of Financial Condition and Results of Operations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sans-serif" w:hAnsi="sans-serif"/>
                  <w:color w:val="0000FF"/>
                  <w:sz w:val="20"/>
                  <w:u w:val="single"/>
                </w:rPr>
                <w:t>Quantitative and Qualitative Disclosures About Market Risk</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sans-serif" w:hAnsi="sans-serif"/>
                  <w:color w:val="0000FF"/>
                  <w:sz w:val="20"/>
                  <w:u w:val="single"/>
                </w:rPr>
                <w:t>Controls and Procedures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PART II.</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sans-serif" w:hAnsi="sans-serif"/>
                  <w:color w:val="0000FF"/>
                  <w:sz w:val="20"/>
                  <w:u w:val="single"/>
                </w:rPr>
                <w:t>OTHER INFORMATION</w:t>
              </w:r>
            </w:hyperlink>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sans-serif" w:hAnsi="sans-serif"/>
                  <w:color w:val="0000FF"/>
                  <w:sz w:val="20"/>
                  <w:u w:val="single"/>
                </w:rPr>
                <w:t>Legal Proceedings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sans-serif" w:hAnsi="sans-serif"/>
                  <w:color w:val="0000FF"/>
                  <w:sz w:val="20"/>
                  <w:u w:val="single"/>
                </w:rPr>
                <w:t>Risk Factors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_equity_securiti">
              <w:r>
                <w:rPr>
                  <w:rStyle w:val="InternetLink"/>
                  <w:rFonts w:ascii="sans-serif" w:hAnsi="sans-serif"/>
                  <w:color w:val="0000FF"/>
                  <w:sz w:val="20"/>
                  <w:u w:val="single"/>
                </w:rPr>
                <w:t>Unregistered Sales of Equity Securities and Use of Proceeds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sans-serif" w:hAnsi="sans-serif"/>
                  <w:color w:val="0000FF"/>
                  <w:sz w:val="20"/>
                  <w:u w:val="single"/>
                </w:rPr>
                <w:t>Defaults Upon Senior Securities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sans-serif" w:hAnsi="sans-serif"/>
                  <w:color w:val="0000FF"/>
                  <w:sz w:val="20"/>
                  <w:u w:val="single"/>
                </w:rPr>
                <w:t>Mine Safety Disclosures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sans-serif" w:hAnsi="sans-serif"/>
                  <w:color w:val="0000FF"/>
                  <w:sz w:val="20"/>
                  <w:u w:val="single"/>
                </w:rPr>
                <w:t>Other Information</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6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sans-serif" w:hAnsi="sans-serif"/>
                  <w:color w:val="0000FF"/>
                  <w:sz w:val="20"/>
                  <w:u w:val="single"/>
                </w:rPr>
                <w:t>Exhibits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r>
      <w:tr>
        <w:trPr/>
        <w:tc>
          <w:tcPr>
            <w:tcW w:w="9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sans-serif" w:hAnsi="sans-serif"/>
          <w:b/>
          <w:color w:val="000000"/>
          <w:sz w:val="20"/>
        </w:rPr>
        <w:t>SPECIAL NOTE REGARDING FO</w:t>
      </w:r>
      <w:bookmarkStart w:id="4" w:name="special_note_regarding_forwardlooking_st"/>
      <w:bookmarkEnd w:id="4"/>
      <w:r>
        <w:rPr>
          <w:rFonts w:ascii="sans-serif" w:hAnsi="sans-serif"/>
          <w:b/>
          <w:color w:val="000000"/>
          <w:sz w:val="20"/>
        </w:rPr>
        <w:t>RWARD-LOOKING STATEMENTS</w:t>
      </w:r>
    </w:p>
    <w:p>
      <w:pPr>
        <w:pStyle w:val="TextBody"/>
        <w:bidi w:val="0"/>
        <w:spacing w:before="240" w:after="283"/>
        <w:jc w:val="left"/>
        <w:rPr>
          <w:rFonts w:ascii="sans-serif" w:hAnsi="sans-serif"/>
          <w:color w:val="000000"/>
          <w:sz w:val="20"/>
        </w:rPr>
      </w:pPr>
      <w:r>
        <w:rPr>
          <w:rFonts w:ascii="sans-serif" w:hAnsi="sans-serif"/>
          <w:color w:val="000000"/>
          <w:sz w:val="20"/>
        </w:rPr>
        <w:t>This quarterly report on Form 10-Q contains forward-looking statements that involve substantial risks and uncertainties.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ability of our clinical trials to demonstrate safety and efficacy of our product candidates, and other positive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progress and results of clinical trials for ELVN-001 from our BCR-ABL (as defined below) program and other product candidates we have and may in the future develop, including statements regarding the timing of initiation and completion of studies or trials and related preparatory work, the period during which the results of the studies or trials will become available, and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potential of, and plans regarding, market opportunities, and expectations regarding our programs, including ELVN-001;</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timing, scope and likelihood of regulatory filings and approvals, including timing of investigational new drug applications ("INDs") and final U.S. Food and Drug Administration (“FDA”) approval of ELVN-001 from our BCR-ABL program and any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timing, scope or likelihood of foreign regulatory filings and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develop and advance current product candidates and programs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manufacturing, commercialization, and marketing capabilities and strategy, including transitioning the manufacturing of our product candidates to additional countries, including countries in Europe;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plans relating to commercializing our product candidates, if approved, including the geographic areas of focus and sales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need to hire additional personnel and our ability to attract and retain such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size of the market opportunity for our product candidates, including estimates of the number of patients who suffer from the diseases we are targeting;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expectations regarding the approval and use of our product candidates in combination with other drugs;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ability to secure drug product for combination studies and for comparator arms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development of a companion diagnostic in connection with the regulatory approval of any of our product candidates, if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expectations regarding preparations for our planned ELVN-001 pivotal trial, and potential for accelerated approval or other expedited regulatory designations for ELVN-001;</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competitive position and the success of competing therapies that are or may become available and the ability of our product candidates to compete with such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estimates of the number of patients that we will enroll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beneficial characteristics, and the potential safety,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obtain and maintain regulatory approval of our product candidates and our expectations regarding particular lines of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plans relating to the further development of our product candidates, including additional indications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existing regulations and regulatory developments in the United States, Europe and other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expectations regarding conditions and risks related to government shutdowns, impact of instability in the banking and financial services sector and other macroeconomic trends;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expectations regarding the changes in government administration policy positions as a result of the current presidential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intellectual property position, including the scope of protection we are able to establish and maintain for intellectual property rights covering ELVN-001 from our BCR-ABL program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continued reliance on third parties to conduct additional clinical trials of our product candidates, and for the manufacture of our product candidates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relationships with patient advocacy groups, key opinion leaders, regulators, the research community and payors;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obtain, and negotiate favorable terms of, any collaboration, licensing, drug supply,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pricing and reimbursement of ELVN-001 from our BCR-ABL program and other product candidates we may develop,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rate and degree of market acceptance and clinical utility of ELVN-001 from our BCR-ABL program and other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expectations regarding sales of our common stock made pursuant to the Sales Agreement (as defined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period over which we estimate our existing cash, cash equivalents and marketable securities will be sufficient to fund our planned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ability to utilize our net operating loss carryforwards ("NOLs") and tax credit carryforwards;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impact of laws and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expectations regarding the impact of public health emergencies, health epidemics (including COVID-19) or other outbreaks on our business.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addition, statements such as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5" w:name="part_i_financial_information"/>
      <w:bookmarkEnd w:id="5"/>
      <w:r>
        <w:rPr>
          <w:rFonts w:ascii="sans-serif" w:hAnsi="sans-serif"/>
          <w:b/>
          <w:color w:val="000000"/>
          <w:sz w:val="20"/>
        </w:rPr>
        <w:t>Part I – FINANCIAL INFORMATION</w:t>
      </w:r>
    </w:p>
    <w:p>
      <w:pPr>
        <w:pStyle w:val="TextBody"/>
        <w:bidi w:val="0"/>
        <w:jc w:val="center"/>
        <w:rPr/>
      </w:pPr>
      <w:r>
        <w:rPr/>
        <w:t> </w:t>
      </w:r>
    </w:p>
    <w:p>
      <w:pPr>
        <w:pStyle w:val="TextBody"/>
        <w:bidi w:val="0"/>
        <w:jc w:val="left"/>
        <w:rPr>
          <w:rFonts w:ascii="sans-serif" w:hAnsi="sans-serif"/>
          <w:b/>
          <w:color w:val="000000"/>
          <w:sz w:val="20"/>
        </w:rPr>
      </w:pPr>
      <w:bookmarkStart w:id="6" w:name="item_1_financial_statements"/>
      <w:bookmarkEnd w:id="6"/>
      <w:r>
        <w:rPr>
          <w:rFonts w:ascii="sans-serif" w:hAnsi="sans-serif"/>
          <w:b/>
          <w:color w:val="000000"/>
          <w:sz w:val="20"/>
        </w:rPr>
        <w:t>Item 1. Condensed Consolidated Financial Statements (Unaudited)</w:t>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ENLIVEN THERAPEUTICS, INC.</w:t>
      </w:r>
    </w:p>
    <w:p>
      <w:pPr>
        <w:pStyle w:val="TextBody"/>
        <w:bidi w:val="0"/>
        <w:jc w:val="center"/>
        <w:rPr>
          <w:rFonts w:ascii="sans-serif" w:hAnsi="sans-serif"/>
          <w:b/>
          <w:color w:val="000000"/>
          <w:sz w:val="20"/>
        </w:rPr>
      </w:pPr>
      <w:bookmarkStart w:id="7" w:name="balance_sheets"/>
      <w:bookmarkEnd w:id="7"/>
      <w:r>
        <w:rPr>
          <w:rFonts w:ascii="sans-serif" w:hAnsi="sans-serif"/>
          <w:b/>
          <w:color w:val="000000"/>
          <w:sz w:val="20"/>
        </w:rPr>
        <w:t>CONDENSED CONSOLIDATED BALANCE SHEETS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color w:val="000000"/>
          <w:sz w:val="20"/>
        </w:rPr>
      </w:pPr>
      <w:r>
        <w:rPr>
          <w:rFonts w:ascii="sans-serif" w:hAnsi="sans-serif"/>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90"/>
        <w:gridCol w:w="146"/>
        <w:gridCol w:w="241"/>
        <w:gridCol w:w="1143"/>
        <w:gridCol w:w="181"/>
        <w:gridCol w:w="146"/>
        <w:gridCol w:w="335"/>
        <w:gridCol w:w="1429"/>
        <w:gridCol w:w="394"/>
      </w:tblGrid>
      <w:tr>
        <w:trPr/>
        <w:tc>
          <w:tcPr>
            <w:tcW w:w="6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135,505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98,896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759,650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363,725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12,184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12,257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907,339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474,878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910,223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476,168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14,409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16,568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16,568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par value $0.001; authorized shares - 10,000,000;</w:t>
              <w:br/>
              <w:t>issued and outstanding shares - 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Common stock, par value $0.001; authorized shares - 200,000,000</w:t>
              <w:br/>
              <w:t>and 100,000,000</w:t>
            </w:r>
            <w:r>
              <w:rPr>
                <w:rFonts w:ascii="Times New Roman" w:hAnsi="Times New Roman"/>
                <w:color w:val="000000"/>
                <w:sz w:val="20"/>
              </w:rPr>
              <w:t> </w:t>
            </w:r>
            <w:r>
              <w:rPr>
                <w:rFonts w:ascii="sans-serif" w:hAnsi="sans-serif"/>
                <w:color w:val="000000"/>
                <w:sz w:val="20"/>
              </w:rPr>
              <w:t>at June 30, 2026 and December 31, 2025, respectively;</w:t>
              <w:br/>
              <w:t>issued and outstanding shares - 73,251,648</w:t>
            </w:r>
            <w:r>
              <w:rPr>
                <w:rFonts w:ascii="Times New Roman" w:hAnsi="Times New Roman"/>
                <w:color w:val="000000"/>
                <w:sz w:val="20"/>
              </w:rPr>
              <w:t> </w:t>
            </w:r>
            <w:r>
              <w:rPr>
                <w:rFonts w:ascii="sans-serif" w:hAnsi="sans-serif"/>
                <w:color w:val="000000"/>
                <w:sz w:val="20"/>
              </w:rPr>
              <w:t>and 59,440,045</w:t>
            </w:r>
            <w:r>
              <w:rPr>
                <w:rFonts w:ascii="Times New Roman" w:hAnsi="Times New Roman"/>
                <w:color w:val="000000"/>
                <w:sz w:val="20"/>
              </w:rPr>
              <w:t> </w:t>
            </w:r>
            <w:r>
              <w:rPr>
                <w:rFonts w:ascii="sans-serif" w:hAnsi="sans-serif"/>
                <w:color w:val="000000"/>
                <w:sz w:val="20"/>
              </w:rPr>
              <w:t>at</w:t>
              <w:br/>
              <w:t>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1,300,259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806,373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(403,278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(347,166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1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895,149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459,600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910,223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476,168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ENLIVEN THERAPEUTICS, INC.</w:t>
      </w:r>
    </w:p>
    <w:p>
      <w:pPr>
        <w:pStyle w:val="TextBody"/>
        <w:bidi w:val="0"/>
        <w:jc w:val="center"/>
        <w:rPr>
          <w:rFonts w:ascii="sans-serif" w:hAnsi="sans-serif"/>
          <w:b/>
          <w:color w:val="000000"/>
          <w:sz w:val="20"/>
        </w:rPr>
      </w:pPr>
      <w:bookmarkStart w:id="8" w:name="statements_operations_comprehensive_loss"/>
      <w:bookmarkEnd w:id="8"/>
      <w:r>
        <w:rPr>
          <w:rFonts w:ascii="sans-serif" w:hAnsi="sans-serif"/>
          <w:b/>
          <w:color w:val="000000"/>
          <w:sz w:val="20"/>
        </w:rPr>
        <w:t>CONDENSED CONSOLIDATED STATEMENTS OF OPERATIONS AND COMPREHENSIVE LOSS</w:t>
      </w:r>
    </w:p>
    <w:p>
      <w:pPr>
        <w:pStyle w:val="TextBody"/>
        <w:bidi w:val="0"/>
        <w:jc w:val="center"/>
        <w:rPr>
          <w:rFonts w:ascii="Times New Roman" w:hAnsi="Times New Roman"/>
          <w:sz w:val="20"/>
        </w:rPr>
      </w:pPr>
      <w:r>
        <w:rPr>
          <w:rFonts w:ascii="sans-serif" w:hAnsi="sans-serif"/>
          <w:b/>
          <w:color w:val="000000"/>
          <w:sz w:val="20"/>
        </w:rPr>
        <w:t>(Unaudited)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39"/>
        <w:gridCol w:w="146"/>
        <w:gridCol w:w="226"/>
        <w:gridCol w:w="1186"/>
        <w:gridCol w:w="181"/>
        <w:gridCol w:w="146"/>
        <w:gridCol w:w="226"/>
        <w:gridCol w:w="1186"/>
        <w:gridCol w:w="181"/>
        <w:gridCol w:w="146"/>
        <w:gridCol w:w="226"/>
        <w:gridCol w:w="1186"/>
        <w:gridCol w:w="181"/>
        <w:gridCol w:w="146"/>
        <w:gridCol w:w="226"/>
        <w:gridCol w:w="1186"/>
        <w:gridCol w:w="39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49,683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46,386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4,724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(56,112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unrealized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(34,008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(58,351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(54,111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66,171,581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52,105,052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64,494,769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51,083,841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ENLIVEN THERAPEUTICS, INC.</w:t>
      </w:r>
    </w:p>
    <w:p>
      <w:pPr>
        <w:pStyle w:val="TextBody"/>
        <w:bidi w:val="0"/>
        <w:jc w:val="center"/>
        <w:rPr>
          <w:rFonts w:ascii="Times New Roman" w:hAnsi="Times New Roman"/>
          <w:sz w:val="20"/>
        </w:rPr>
      </w:pPr>
      <w:bookmarkStart w:id="9" w:name="statements_convertible_preferred_stock_s"/>
      <w:bookmarkEnd w:id="9"/>
      <w:r>
        <w:rPr>
          <w:rFonts w:ascii="sans-serif" w:hAnsi="sans-serif"/>
          <w:b/>
          <w:color w:val="000000"/>
          <w:sz w:val="20"/>
        </w:rPr>
        <w:t>CONDENSED CONSOLIDATED STATEMENTS OF</w:t>
      </w:r>
      <w:r>
        <w:rPr>
          <w:rFonts w:ascii="Times New Roman" w:hAnsi="Times New Roman"/>
          <w:color w:val="000000"/>
          <w:sz w:val="20"/>
        </w:rPr>
        <w:t xml:space="preserve"> </w:t>
      </w:r>
      <w:r>
        <w:rPr>
          <w:rFonts w:ascii="sans-serif" w:hAnsi="sans-serif"/>
          <w:b/>
          <w:color w:val="000000"/>
          <w:sz w:val="20"/>
        </w:rPr>
        <w:t>STOCKHOLDERS’ EQUITY</w:t>
      </w:r>
    </w:p>
    <w:p>
      <w:pPr>
        <w:pStyle w:val="TextBody"/>
        <w:bidi w:val="0"/>
        <w:jc w:val="center"/>
        <w:rPr>
          <w:rFonts w:ascii="Times New Roman" w:hAnsi="Times New Roman"/>
          <w:sz w:val="20"/>
        </w:rPr>
      </w:pPr>
      <w:r>
        <w:rPr>
          <w:rFonts w:ascii="sans-serif" w:hAnsi="sans-serif"/>
          <w:b/>
          <w:color w:val="000000"/>
          <w:sz w:val="20"/>
        </w:rPr>
        <w:t>(Unaudited)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99"/>
        <w:gridCol w:w="146"/>
        <w:gridCol w:w="146"/>
        <w:gridCol w:w="916"/>
        <w:gridCol w:w="146"/>
        <w:gridCol w:w="146"/>
        <w:gridCol w:w="244"/>
        <w:gridCol w:w="432"/>
        <w:gridCol w:w="146"/>
        <w:gridCol w:w="146"/>
        <w:gridCol w:w="196"/>
        <w:gridCol w:w="693"/>
        <w:gridCol w:w="146"/>
        <w:gridCol w:w="146"/>
        <w:gridCol w:w="386"/>
        <w:gridCol w:w="860"/>
        <w:gridCol w:w="166"/>
        <w:gridCol w:w="146"/>
        <w:gridCol w:w="217"/>
        <w:gridCol w:w="834"/>
        <w:gridCol w:w="166"/>
        <w:gridCol w:w="146"/>
        <w:gridCol w:w="234"/>
        <w:gridCol w:w="828"/>
        <w:gridCol w:w="374"/>
      </w:tblGrid>
      <w:tr>
        <w:trPr/>
        <w:tc>
          <w:tcPr>
            <w:tcW w:w="2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Total</w:t>
              <w:br/>
              <w:t>Stockholders'</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Equity</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48,936,459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553,213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(243,472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309,845</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91,915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234</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Vesting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33</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6,799</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(28,544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(28,544</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(71</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49,038,730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560,279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(272,016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288,296</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236,893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1,324</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Vesting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28</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22,957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427</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Issuance of common stock and pre-funded warrants in the</w:t>
              <w:br/>
              <w:t>   2025 Public Offering, net of issuance costs of $13,875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9,920,987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216,159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216,169</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7,724</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(25,335</w:t>
            </w:r>
          </w:p>
        </w:tc>
        <w:tc>
          <w:tcPr>
            <w:tcW w:w="37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21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(161</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r>
      <w:tr>
        <w:trPr/>
        <w:tc>
          <w:tcPr>
            <w:tcW w:w="21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59,226,171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785,941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(297,351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488,472</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070"/>
        <w:gridCol w:w="146"/>
        <w:gridCol w:w="146"/>
        <w:gridCol w:w="916"/>
        <w:gridCol w:w="146"/>
        <w:gridCol w:w="146"/>
        <w:gridCol w:w="244"/>
        <w:gridCol w:w="432"/>
        <w:gridCol w:w="146"/>
        <w:gridCol w:w="146"/>
        <w:gridCol w:w="196"/>
        <w:gridCol w:w="826"/>
        <w:gridCol w:w="146"/>
        <w:gridCol w:w="146"/>
        <w:gridCol w:w="318"/>
        <w:gridCol w:w="928"/>
        <w:gridCol w:w="166"/>
        <w:gridCol w:w="146"/>
        <w:gridCol w:w="217"/>
        <w:gridCol w:w="834"/>
        <w:gridCol w:w="166"/>
        <w:gridCol w:w="146"/>
        <w:gridCol w:w="234"/>
        <w:gridCol w:w="826"/>
        <w:gridCol w:w="372"/>
      </w:tblGrid>
      <w:tr>
        <w:trPr/>
        <w:tc>
          <w:tcPr>
            <w:tcW w:w="2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Total</w:t>
              <w:br/>
              <w:t>Stockholders'</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Equity</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59,440,045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806,373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(347,166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459,600</w:t>
            </w:r>
          </w:p>
        </w:tc>
        <w:tc>
          <w:tcPr>
            <w:tcW w:w="3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1,435,253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10,711</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7,397</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(23,627</w:t>
            </w:r>
          </w:p>
        </w:tc>
        <w:tc>
          <w:tcPr>
            <w:tcW w:w="3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(716</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60,889,655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824,479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(370,793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453,365</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1,795,854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28,928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28,929</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354</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Issuance of common stock and pre-funded warrants in the</w:t>
              <w:br/>
              <w:t>   2026 Public Offering, net of issuance costs of $27,405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10,533,334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432,583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432,594</w:t>
            </w:r>
          </w:p>
        </w:tc>
        <w:tc>
          <w:tcPr>
            <w:tcW w:w="3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13,915</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(32,485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(32,485</w:t>
            </w:r>
          </w:p>
        </w:tc>
        <w:tc>
          <w:tcPr>
            <w:tcW w:w="3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207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(1,523</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r>
      <w:tr>
        <w:trPr/>
        <w:tc>
          <w:tcPr>
            <w:tcW w:w="20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73,251,648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1,300,259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(403,278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895,149</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ENLIVEN THERAPEUTICS, INC.</w:t>
      </w:r>
    </w:p>
    <w:p>
      <w:pPr>
        <w:pStyle w:val="TextBody"/>
        <w:bidi w:val="0"/>
        <w:jc w:val="center"/>
        <w:rPr>
          <w:rFonts w:ascii="Times New Roman" w:hAnsi="Times New Roman"/>
          <w:sz w:val="20"/>
        </w:rPr>
      </w:pPr>
      <w:bookmarkStart w:id="10" w:name="statements_cash_flows"/>
      <w:bookmarkEnd w:id="10"/>
      <w:r>
        <w:rPr>
          <w:rFonts w:ascii="sans-serif" w:hAnsi="sans-serif"/>
          <w:b/>
          <w:color w:val="000000"/>
          <w:sz w:val="20"/>
        </w:rPr>
        <w:t>CONDENSED CONSOLIDATED STATEMENTS OF</w:t>
      </w:r>
      <w:r>
        <w:rPr>
          <w:rFonts w:ascii="Times New Roman" w:hAnsi="Times New Roman"/>
          <w:color w:val="000000"/>
          <w:sz w:val="20"/>
        </w:rPr>
        <w:t xml:space="preserve"> </w:t>
      </w:r>
      <w:r>
        <w:rPr>
          <w:rFonts w:ascii="sans-serif" w:hAnsi="sans-serif"/>
          <w:b/>
          <w:color w:val="000000"/>
          <w:sz w:val="20"/>
        </w:rPr>
        <w:t>CASH FLOWS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color w:val="000000"/>
          <w:sz w:val="20"/>
        </w:rPr>
      </w:pPr>
      <w:r>
        <w:rPr>
          <w:rFonts w:ascii="sans-serif" w:hAnsi="sans-serif"/>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226"/>
        <w:gridCol w:w="961"/>
        <w:gridCol w:w="181"/>
        <w:gridCol w:w="146"/>
        <w:gridCol w:w="226"/>
        <w:gridCol w:w="961"/>
        <w:gridCol w:w="226"/>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(56,112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Amortization of premiums and discounts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Prepaid expenses, other current and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(37,822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(41,184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227,056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117,408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(625,997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(299,411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(399,040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(182,162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9"/>
              </w:rPr>
              <w:t>Proceeds from 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9"/>
              </w:rPr>
              <w:t>Proceeds from issuance of common stock and pre-funded warrants, net</w:t>
              <w:br/>
              <w: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433,477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216,627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473,471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218,612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98,896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124,171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135,505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119,437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 obtained in exchange for operating</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736</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Issuance costs related to the sale of common stock and pre-funded</w:t>
              <w:br/>
              <w:t>   warrants included in accounts payable and accrued expenses and other</w:t>
              <w:br/>
              <w:t>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Purchases of property and equipment included in accrued expenses and</w:t>
              <w:br/>
              <w:t>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ENLIVEN THERAPEUTICS, INC.</w:t>
      </w:r>
    </w:p>
    <w:p>
      <w:pPr>
        <w:pStyle w:val="TextBody"/>
        <w:bidi w:val="0"/>
        <w:jc w:val="center"/>
        <w:rPr>
          <w:rFonts w:ascii="Times New Roman" w:hAnsi="Times New Roman"/>
          <w:sz w:val="20"/>
        </w:rPr>
      </w:pPr>
      <w:bookmarkStart w:id="11" w:name="notes_to_unaudited_financial_statements"/>
      <w:bookmarkEnd w:id="11"/>
      <w:r>
        <w:rPr>
          <w:rFonts w:ascii="sans-serif" w:hAnsi="sans-serif"/>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240" w:after="283"/>
        <w:jc w:val="left"/>
        <w:rPr>
          <w:rFonts w:ascii="sans-serif" w:hAnsi="sans-serif"/>
          <w:b/>
          <w:color w:val="000000"/>
          <w:sz w:val="20"/>
        </w:rPr>
      </w:pPr>
      <w:r>
        <w:rPr>
          <w:rFonts w:ascii="sans-serif" w:hAnsi="sans-serif"/>
          <w:b/>
          <w:color w:val="000000"/>
          <w:sz w:val="20"/>
        </w:rPr>
        <w:t>1. Organization, Description of Business and Liquidity</w:t>
      </w:r>
    </w:p>
    <w:p>
      <w:pPr>
        <w:pStyle w:val="TextBody"/>
        <w:bidi w:val="0"/>
        <w:spacing w:before="120" w:after="283"/>
        <w:jc w:val="left"/>
        <w:rPr>
          <w:rFonts w:ascii="sans-serif" w:hAnsi="sans-serif"/>
          <w:b/>
          <w:i/>
          <w:color w:val="000000"/>
          <w:sz w:val="20"/>
        </w:rPr>
      </w:pPr>
      <w:r>
        <w:rPr>
          <w:rFonts w:ascii="sans-serif" w:hAnsi="sans-serif"/>
          <w:b/>
          <w:i/>
          <w:color w:val="000000"/>
          <w:sz w:val="20"/>
        </w:rPr>
        <w:t>Business</w:t>
      </w:r>
    </w:p>
    <w:p>
      <w:pPr>
        <w:pStyle w:val="TextBody"/>
        <w:bidi w:val="0"/>
        <w:spacing w:before="120" w:after="283"/>
        <w:jc w:val="left"/>
        <w:rPr>
          <w:rFonts w:ascii="sans-serif" w:hAnsi="sans-serif"/>
          <w:color w:val="000000"/>
          <w:sz w:val="20"/>
        </w:rPr>
      </w:pPr>
      <w:r>
        <w:rPr>
          <w:rFonts w:ascii="sans-serif" w:hAnsi="sans-serif"/>
          <w:color w:val="000000"/>
          <w:sz w:val="20"/>
        </w:rPr>
        <w:t>Enliven Inc. (formerly, Enliven Therapeutics, Inc.) (“Former Enliven”) was incorporated in the State of Delaware on June 12, 2019. Enliven Therapeutics, Inc. (formerly, Imara Inc.) (the “Company”) is headquartered in Burlingame, California. The Company is a clinical-stage biopharmaceutical company focused on the discovery and development of small molecule therapeutics to help people not only live longer, but live better. The Company aims to address existing and emerging unmet needs with a precision medicine approach that improves survival and enhances overall well-being. Its discovery process combines deep insights into clinically validated biological targets and differentiated chemistry with the goal of designing therapies for unmet needs.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Since its inception, the Company has devoted substantially all of its efforts to research and development activities, business planning, establishing and maintaining its intellectual property portfolio, hiring personnel, raising capital, and providing general and administrative support for these activities. To date, the Company has funded its operations primarily through the issuance of its common and convertible preferred stock.</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The Merger</w:t>
      </w:r>
    </w:p>
    <w:p>
      <w:pPr>
        <w:pStyle w:val="TextBody"/>
        <w:bidi w:val="0"/>
        <w:spacing w:before="120" w:after="283"/>
        <w:jc w:val="left"/>
        <w:rPr>
          <w:rFonts w:ascii="sans-serif" w:hAnsi="sans-serif"/>
          <w:color w:val="000000"/>
          <w:sz w:val="20"/>
        </w:rPr>
      </w:pPr>
      <w:r>
        <w:rPr>
          <w:rFonts w:ascii="sans-serif" w:hAnsi="sans-serif"/>
          <w:color w:val="000000"/>
          <w:sz w:val="20"/>
        </w:rPr>
        <w:t>On October 13, 2022, the Company entered into an agreement and plan of merger (“Merger Agreement” and such transactions considered by the Merger Agreement, the “Merger”) with Former Enliven. On February 23, 2023, the Company completed the Merger with Former Enliven in accordance with the Merger Agreement. Immediately following the Merger, the Company changed its name to Enliven Therapeutics, Inc.</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Risks and uncertainties</w:t>
      </w:r>
    </w:p>
    <w:p>
      <w:pPr>
        <w:pStyle w:val="TextBody"/>
        <w:bidi w:val="0"/>
        <w:spacing w:before="120" w:after="283"/>
        <w:jc w:val="left"/>
        <w:rPr>
          <w:rFonts w:ascii="sans-serif" w:hAnsi="sans-serif"/>
          <w:color w:val="000000"/>
          <w:sz w:val="20"/>
        </w:rPr>
      </w:pPr>
      <w:r>
        <w:rPr>
          <w:rFonts w:ascii="sans-serif" w:hAnsi="sans-serif"/>
          <w:color w:val="000000"/>
          <w:sz w:val="20"/>
        </w:rPr>
        <w:t>The Company is subject to risks common to development-stage companies in the biotechnology industry including, but not limited to, risks of failure of preclinical studies and clinical trials, new technological innovations, protection of proprietary technology, dependence on key personnel, reliance on third-party organizations, risks of obtaining regulatory approval for any product candidate that it may develop, compliance with government regulations and the need to obtain additional financing.</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Company continues to closely monitor macroeconomic and geopolitical developments, including conditions and risks related to government shutdowns, inflation, instability in the banking and financial services sector, tightening of the credit markets, the Russia-Ukraine conflict and conflicts in the Middle East (including the Iran conflict), the imposition of various sanctions, trade restrictions, and tariffs by the United States or other countries, and potential changes in political, regulatory, legal or economic conditions, including changes in government administration policy positions, and public health emergencies/epidemics. The Company has established clinical trial sites in Israel, which may face recruitment, enrollment, retention, operational or other difficulties due to conflicts within the region, including, for example, difficulties importing clinical trial drug through Israeli customs, difficulties with patient recruitment and enrollment, or difficulties with patients or medical personnel accessing appropriate medical facilities. The extent of the impact of these developments on the Company’s business, operations and research and development timelines and plans remains uncertain and will depend on numerous factors, including the impact, if any, on the Company’s personnel, responses of governmental entities, and the responses of third parties, such as contract research organizations, contract manufacturing organizations and other third parties with whom the Company does business. Any prolonged material disruption to the Company’s employees or suppliers could adversely impact the Company’s development activities, financial condition and results of operations, including its ability to obtain financing. The Company is monitoring the potential impact of these developments on its business and consolidated financial statements. To date, the Company has not experienced material business disruptions or incurred impairment losses in the carrying values of its assets as a result of these developments, and it is not aware of any specific related event or circumstance that would require it to revise its estimates reflected in these condensed consolidated financial statements.</w:t>
      </w:r>
    </w:p>
    <w:p>
      <w:pPr>
        <w:pStyle w:val="TextBody"/>
        <w:bidi w:val="0"/>
        <w:jc w:val="left"/>
        <w:rPr/>
      </w:pPr>
      <w:r>
        <w:rPr/>
        <w:t> </w:t>
      </w:r>
    </w:p>
    <w:p>
      <w:pPr>
        <w:pStyle w:val="TextBody"/>
        <w:bidi w:val="0"/>
        <w:spacing w:before="0" w:after="120"/>
        <w:jc w:val="left"/>
        <w:rPr>
          <w:rFonts w:ascii="sans-serif" w:hAnsi="sans-serif"/>
          <w:b/>
          <w:i/>
          <w:color w:val="000000"/>
          <w:sz w:val="20"/>
        </w:rPr>
      </w:pPr>
      <w:r>
        <w:rPr>
          <w:rFonts w:ascii="sans-serif" w:hAnsi="sans-serif"/>
          <w:b/>
          <w:i/>
          <w:color w:val="000000"/>
          <w:sz w:val="20"/>
        </w:rPr>
        <w:t>Liquidity considerations</w:t>
      </w:r>
    </w:p>
    <w:p>
      <w:pPr>
        <w:pStyle w:val="TextBody"/>
        <w:bidi w:val="0"/>
        <w:jc w:val="left"/>
        <w:rPr>
          <w:rFonts w:ascii="Times New Roman" w:hAnsi="Times New Roman"/>
          <w:sz w:val="20"/>
        </w:rPr>
      </w:pPr>
      <w:r>
        <w:rPr>
          <w:rFonts w:ascii="sans-serif" w:hAnsi="sans-serif"/>
          <w:color w:val="000000"/>
          <w:sz w:val="20"/>
        </w:rPr>
        <w:t>In order to complete the development of the Company’s product candidates and to build the sales, marketing, medical and distribution infrastructure that the Company believes will be necessary to commercialize its product candidates, if approved, the Company will require substantial additional capital. Until the Company can generate a sufficient amount of revenue from the commercialization of its product candidates, the Company may seek to raise any necessary additional capital through equity or debt financings, loans or other capital sources, which could include income from collaborations, partnerships or other marketing,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distribution, licensing or other strategic arrangements with third parties, or from grants. While the Company has been able to raise capital to fund its operations to-date, there can be no assurance that the Company will be able to raise additional capital in the future on favorable terms, or at all. Because of the numerous risks and uncertainties associated with research, development and commercialization of product candidates, the Company is unable to estimate the exact amount and timing of its capital requirements. The Company does not expect to generate any meaningful revenue unless and until the Company obtains regulatory approval of and commercializes any of its product candidates, and the Company does not know when, or if, that will occur.</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Company has incurred significant losses and negative cash flows from operations since inception. As of June 30, 2026, the Company had an accumulated deficit of $403.3</w:t>
      </w:r>
      <w:r>
        <w:rPr>
          <w:rFonts w:ascii="Times New Roman" w:hAnsi="Times New Roman"/>
          <w:color w:val="000000"/>
          <w:sz w:val="20"/>
        </w:rPr>
        <w:t xml:space="preserve"> </w:t>
      </w:r>
      <w:r>
        <w:rPr>
          <w:rFonts w:ascii="sans-serif" w:hAnsi="sans-serif"/>
          <w:color w:val="000000"/>
          <w:sz w:val="20"/>
        </w:rPr>
        <w:t>million. The Company expects that its operating losses and negative cash flows will continue for the foreseeable future as the Company continues to develop its product candidates. The Company currently expects that its cash, cash equivalents and marketable securities of $895.2</w:t>
      </w:r>
      <w:r>
        <w:rPr>
          <w:rFonts w:ascii="Times New Roman" w:hAnsi="Times New Roman"/>
          <w:color w:val="000000"/>
          <w:sz w:val="20"/>
        </w:rPr>
        <w:t xml:space="preserve"> </w:t>
      </w:r>
      <w:r>
        <w:rPr>
          <w:rFonts w:ascii="sans-serif" w:hAnsi="sans-serif"/>
          <w:color w:val="000000"/>
          <w:sz w:val="20"/>
        </w:rPr>
        <w:t>million as of June 30, 2026 will be sufficient to fund operating expenses and capital requirements for at least 12 months from the date the unaudited condensed consolidated financial statements are issued.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June 15, 2026, the Company closed an underwritten public offering (the "2026 Public Offering") of 10,533,334</w:t>
      </w:r>
      <w:r>
        <w:rPr>
          <w:rFonts w:ascii="Times New Roman" w:hAnsi="Times New Roman"/>
          <w:color w:val="000000"/>
          <w:sz w:val="20"/>
        </w:rPr>
        <w:t xml:space="preserve"> </w:t>
      </w:r>
      <w:r>
        <w:rPr>
          <w:rFonts w:ascii="sans-serif" w:hAnsi="sans-serif"/>
          <w:color w:val="000000"/>
          <w:sz w:val="20"/>
        </w:rPr>
        <w:t>shares of its common stock, which includes the full exercise of the underwriters’ option to purchase 1,600,000</w:t>
      </w:r>
      <w:r>
        <w:rPr>
          <w:rFonts w:ascii="Times New Roman" w:hAnsi="Times New Roman"/>
          <w:color w:val="000000"/>
          <w:sz w:val="20"/>
        </w:rPr>
        <w:t xml:space="preserve"> </w:t>
      </w:r>
      <w:r>
        <w:rPr>
          <w:rFonts w:ascii="sans-serif" w:hAnsi="sans-serif"/>
          <w:color w:val="000000"/>
          <w:sz w:val="20"/>
        </w:rPr>
        <w:t>additional shares of its common stock, at a price to the public of $37.50</w:t>
      </w:r>
      <w:r>
        <w:rPr>
          <w:rFonts w:ascii="Times New Roman" w:hAnsi="Times New Roman"/>
          <w:color w:val="000000"/>
          <w:sz w:val="20"/>
        </w:rPr>
        <w:t xml:space="preserve"> </w:t>
      </w:r>
      <w:r>
        <w:rPr>
          <w:rFonts w:ascii="sans-serif" w:hAnsi="sans-serif"/>
          <w:color w:val="000000"/>
          <w:sz w:val="20"/>
        </w:rPr>
        <w:t>per share and, in lieu of common stock to certain investors, pre-funded warrants to purchase 1,733,333</w:t>
      </w:r>
      <w:r>
        <w:rPr>
          <w:rFonts w:ascii="Times New Roman" w:hAnsi="Times New Roman"/>
          <w:color w:val="000000"/>
          <w:sz w:val="20"/>
        </w:rPr>
        <w:t xml:space="preserve"> </w:t>
      </w:r>
      <w:r>
        <w:rPr>
          <w:rFonts w:ascii="sans-serif" w:hAnsi="sans-serif"/>
          <w:color w:val="000000"/>
          <w:sz w:val="20"/>
        </w:rPr>
        <w:t>shares of its common stock at a price to the public of $37.499</w:t>
      </w:r>
      <w:r>
        <w:rPr>
          <w:rFonts w:ascii="Times New Roman" w:hAnsi="Times New Roman"/>
          <w:color w:val="000000"/>
          <w:sz w:val="20"/>
        </w:rPr>
        <w:t xml:space="preserve"> </w:t>
      </w:r>
      <w:r>
        <w:rPr>
          <w:rFonts w:ascii="sans-serif" w:hAnsi="sans-serif"/>
          <w:color w:val="000000"/>
          <w:sz w:val="20"/>
        </w:rPr>
        <w:t>per pre-funded warrant, which represents the per share public offering price of each share of the Company’s common stock less the $0.001</w:t>
      </w:r>
      <w:r>
        <w:rPr>
          <w:rFonts w:ascii="Times New Roman" w:hAnsi="Times New Roman"/>
          <w:color w:val="000000"/>
          <w:sz w:val="20"/>
        </w:rPr>
        <w:t xml:space="preserve"> </w:t>
      </w:r>
      <w:r>
        <w:rPr>
          <w:rFonts w:ascii="sans-serif" w:hAnsi="sans-serif"/>
          <w:color w:val="000000"/>
          <w:sz w:val="20"/>
        </w:rPr>
        <w:t>per share exercise price for each pre-funded warrant.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June 23, 2023, the Company entered into an Open Market Sale Agreement</w:t>
      </w:r>
      <w:r>
        <w:rPr>
          <w:rFonts w:ascii="sans-serif" w:hAnsi="sans-serif"/>
          <w:color w:val="000000"/>
          <w:sz w:val="13"/>
        </w:rPr>
        <w:t>SM</w:t>
      </w:r>
      <w:r>
        <w:rPr>
          <w:rFonts w:ascii="Times New Roman" w:hAnsi="Times New Roman"/>
          <w:color w:val="000000"/>
          <w:sz w:val="20"/>
        </w:rPr>
        <w:t xml:space="preserve"> </w:t>
      </w:r>
      <w:r>
        <w:rPr>
          <w:rFonts w:ascii="sans-serif" w:hAnsi="sans-serif"/>
          <w:color w:val="000000"/>
          <w:sz w:val="20"/>
        </w:rPr>
        <w:t>(the “Sales Agreement”) with Jefferies LLC (the "Sales Agent”), pursuant to which the Company may offer and sell shares of its common stock, from time to time, through an “at-the-market” program under the Securities Act of 1933 (the “Securities Act”). On August 13, 2025, the Company filed an automatic shelf registration statement on Form S-3ASR (the “Automatic Shelf Registration Statement”) with the Securities and Exchange Commission (the “SEC”) that allows the Company to undertake an indeterminate amount of equity and debt offerings. On August 13, 2025, the Company also filed a prospectus supplement to the Automatic Shelf Registration Statement that covers the offering, issuance and sale of up to $200.0</w:t>
      </w:r>
      <w:r>
        <w:rPr>
          <w:rFonts w:ascii="Times New Roman" w:hAnsi="Times New Roman"/>
          <w:color w:val="000000"/>
          <w:sz w:val="20"/>
        </w:rPr>
        <w:t xml:space="preserve"> </w:t>
      </w:r>
      <w:r>
        <w:rPr>
          <w:rFonts w:ascii="sans-serif" w:hAnsi="sans-serif"/>
          <w:color w:val="000000"/>
          <w:sz w:val="20"/>
        </w:rPr>
        <w:t>million of its common stock under the Sales Agreement. As of June 30, 2026 and December 31, 2025, there was $200.0</w:t>
      </w:r>
      <w:r>
        <w:rPr>
          <w:rFonts w:ascii="Times New Roman" w:hAnsi="Times New Roman"/>
          <w:color w:val="000000"/>
          <w:sz w:val="20"/>
        </w:rPr>
        <w:t xml:space="preserve"> </w:t>
      </w:r>
      <w:r>
        <w:rPr>
          <w:rFonts w:ascii="sans-serif" w:hAnsi="sans-serif"/>
          <w:color w:val="000000"/>
          <w:sz w:val="20"/>
        </w:rPr>
        <w:t>million of common stock available for sale under the Sales Agreement.</w:t>
      </w:r>
    </w:p>
    <w:p>
      <w:pPr>
        <w:pStyle w:val="TextBody"/>
        <w:bidi w:val="0"/>
        <w:jc w:val="left"/>
        <w:rPr>
          <w:rFonts w:ascii="sans-serif" w:hAnsi="sans-serif"/>
          <w:color w:val="000000"/>
          <w:sz w:val="20"/>
        </w:rPr>
      </w:pPr>
      <w:r>
        <w:rPr>
          <w:rFonts w:ascii="sans-serif" w:hAnsi="sans-serif"/>
          <w:color w:val="000000"/>
          <w:sz w:val="20"/>
        </w:rPr>
        <w:t>Refer to Note 9 for further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sans-serif" w:hAnsi="sans-serif"/>
          <w:b/>
          <w:color w:val="000000"/>
          <w:sz w:val="20"/>
        </w:rPr>
      </w:pPr>
      <w:r>
        <w:rPr>
          <w:rFonts w:ascii="sans-serif" w:hAnsi="sans-serif"/>
          <w:b/>
          <w:color w:val="000000"/>
          <w:sz w:val="20"/>
        </w:rPr>
        <w:t>2. Summary of Significant Accounting Policies</w:t>
      </w:r>
    </w:p>
    <w:p>
      <w:pPr>
        <w:pStyle w:val="TextBody"/>
        <w:bidi w:val="0"/>
        <w:spacing w:before="120" w:after="283"/>
        <w:jc w:val="both"/>
        <w:rPr>
          <w:rFonts w:ascii="sans-serif" w:hAnsi="sans-serif"/>
          <w:b/>
          <w:i/>
          <w:color w:val="000000"/>
          <w:sz w:val="20"/>
        </w:rPr>
      </w:pPr>
      <w:r>
        <w:rPr>
          <w:rFonts w:ascii="sans-serif" w:hAnsi="sans-serif"/>
          <w:b/>
          <w:i/>
          <w:color w:val="000000"/>
          <w:sz w:val="20"/>
        </w:rPr>
        <w:t>Basis of presentation</w:t>
      </w:r>
    </w:p>
    <w:p>
      <w:pPr>
        <w:pStyle w:val="TextBody"/>
        <w:bidi w:val="0"/>
        <w:spacing w:before="120" w:after="283"/>
        <w:jc w:val="left"/>
        <w:rPr>
          <w:rFonts w:ascii="sans-serif" w:hAnsi="sans-serif"/>
          <w:color w:val="000000"/>
          <w:sz w:val="20"/>
        </w:rPr>
      </w:pPr>
      <w:r>
        <w:rPr>
          <w:rFonts w:ascii="sans-serif" w:hAnsi="sans-serif"/>
          <w:color w:val="000000"/>
          <w:sz w:val="20"/>
        </w:rPr>
        <w:t>The accompanying unaudited condensed consolidated financial statements as of June 30, 2026 and for the three and six months ended June 30, 2026 and 2025 have been prepared in conformity with generally accepted accounting principles in the United States of America ("U.S. GAAP"), for interim financial information and pursuant to Article 10 of Regulation S-X of the Securities Act. Accordingly, they do not include all of the information and notes required by U.S. GAAP for complete financial statements. These unaudited condensed consolidated financial statements have been prepared on the same basis as the Company’s audited financial statements and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consolidated balance sheet as of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as of and for the year ended December 31, 2025 included in the Company’s Annual Report on Form 10-K filed with the SEC on March 3, 2026. Any reference in these notes to applicable guidance is meant to refer to the authoritative U.S. GAAP, as found in the Accounting Standards Codification ("ASC") and Accounting Standards Update ("ASU") of the Financial Accounting Standards Board ("FASB").</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Use of estimates</w:t>
      </w:r>
    </w:p>
    <w:p>
      <w:pPr>
        <w:pStyle w:val="TextBody"/>
        <w:bidi w:val="0"/>
        <w:spacing w:before="120" w:after="283"/>
        <w:jc w:val="left"/>
        <w:rPr>
          <w:rFonts w:ascii="Times New Roman" w:hAnsi="Times New Roman"/>
          <w:sz w:val="20"/>
        </w:rPr>
      </w:pPr>
      <w:r>
        <w:rPr>
          <w:rFonts w:ascii="sans-serif" w:hAnsi="sans-serif"/>
          <w:color w:val="000000"/>
          <w:sz w:val="20"/>
        </w:rPr>
        <w:t>The preparation of financial statements in accordance with U.S. GAAP requires management to make estimates and assumptions that affect the</w:t>
      </w:r>
      <w:r>
        <w:rPr>
          <w:rFonts w:ascii="Times New Roman" w:hAnsi="Times New Roman"/>
          <w:color w:val="231F20"/>
          <w:sz w:val="20"/>
        </w:rPr>
        <w:t xml:space="preserve"> </w:t>
      </w:r>
      <w:r>
        <w:rPr>
          <w:rFonts w:ascii="sans-serif" w:hAnsi="sans-serif"/>
          <w:color w:val="231F20"/>
          <w:sz w:val="20"/>
        </w:rPr>
        <w:t>reported amounts of assets and liabilities and disclosure of contingent assets and liabilities at the date of the financial statements, and the reported amounts of income and expense during the reporting period. The most significant estimates relate to stock-based compensation and accrued research and development costs. Management evaluates its estimates and assumptions on an ongoing basis using historical experience and other factors, including the current economic environment, and makes adjustments when facts and circumstances dictate. Actual results may differ from those estimates or assumptions.</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Cash and cash equivalents</w:t>
      </w:r>
    </w:p>
    <w:p>
      <w:pPr>
        <w:pStyle w:val="TextBody"/>
        <w:bidi w:val="0"/>
        <w:spacing w:before="120" w:after="283"/>
        <w:jc w:val="left"/>
        <w:rPr>
          <w:rFonts w:ascii="sans-serif" w:hAnsi="sans-serif"/>
          <w:color w:val="231F20"/>
          <w:sz w:val="20"/>
        </w:rPr>
      </w:pPr>
      <w:r>
        <w:rPr>
          <w:rFonts w:ascii="sans-serif" w:hAnsi="sans-serif"/>
          <w:color w:val="231F20"/>
          <w:sz w:val="20"/>
        </w:rPr>
        <w:t>The Company considers all highly liquid investments with an original maturity of three months or less when purchased to be cash equivalents. Cash and cash equivalents are recorded at cost, which approximates fair value. As of June 30, 2026 and December 31, 2025, cash and cash equivalents consisted primarily of checking and money market funds composed of U.S. government obligations.</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Restricted cash</w:t>
      </w:r>
    </w:p>
    <w:p>
      <w:pPr>
        <w:pStyle w:val="TextBody"/>
        <w:bidi w:val="0"/>
        <w:spacing w:before="120" w:after="283"/>
        <w:jc w:val="left"/>
        <w:rPr>
          <w:rFonts w:ascii="Times New Roman" w:hAnsi="Times New Roman"/>
          <w:sz w:val="20"/>
        </w:rPr>
      </w:pPr>
      <w:r>
        <w:rPr>
          <w:rFonts w:ascii="sans-serif" w:hAnsi="sans-serif"/>
          <w:color w:val="231F20"/>
          <w:sz w:val="20"/>
        </w:rPr>
        <w:t>The Company classifies all cash whose use is limited by contractual provisions as restricted cash. As of June 30, 2026 and December 31, 2025, the Company had no</w:t>
      </w:r>
      <w:r>
        <w:rPr>
          <w:rFonts w:ascii="Times New Roman" w:hAnsi="Times New Roman"/>
          <w:color w:val="231F20"/>
          <w:sz w:val="20"/>
        </w:rPr>
        <w:t xml:space="preserve"> </w:t>
      </w:r>
      <w:r>
        <w:rPr>
          <w:rFonts w:ascii="sans-serif" w:hAnsi="sans-serif"/>
          <w:color w:val="231F20"/>
          <w:sz w:val="20"/>
        </w:rPr>
        <w:t>restricted cash.</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Marketable securities</w:t>
      </w:r>
    </w:p>
    <w:p>
      <w:pPr>
        <w:pStyle w:val="TextBody"/>
        <w:bidi w:val="0"/>
        <w:spacing w:before="120" w:after="283"/>
        <w:jc w:val="left"/>
        <w:rPr>
          <w:rFonts w:ascii="sans-serif" w:hAnsi="sans-serif"/>
          <w:color w:val="231F20"/>
          <w:sz w:val="20"/>
        </w:rPr>
      </w:pPr>
      <w:r>
        <w:rPr>
          <w:rFonts w:ascii="sans-serif" w:hAnsi="sans-serif"/>
          <w:color w:val="231F20"/>
          <w:sz w:val="20"/>
        </w:rPr>
        <w:t>The Company’s marketable securities primarily consist of U.S. Treasury securities. The Company classifies its marketable securities as available-for-sale and records such assets at estimated fair value in the condensed consolidated balance sheets, with unrealized gains and losses, if any, reported as a component of other comprehensive income (loss) within the condensed consolidated statements of operations and comprehensive loss and as a separate component of stockholders’ equity. The Company classifies marketable securities with remaining maturities greater than one year as current assets due to their highly liquid nature and because such marketable securities represent the investment of cash that is available to fund the Company’s current operations. Interest and dividends on marketable securities are included in interest income. The cost of marketable securities sold is based on the specific identification method, with any realized gains and losses recorded as interest income. There were no realized gains and losses during the periods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At each balance sheet date, the Company assesses available-for-sale debt securities in an unrealized loss position to determine whether the unrealized loss or any potential credit losses should be recognized in net income (loss).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underlying credit ratings and forecasted recovery, among other factors. The credit-related portion of unrealized losses, and any subsequent improvements, are recorded as an allowance in interest income. There have been no impairment or credit losses recognized during the periods presented.</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Concentrations of credit risk</w:t>
      </w:r>
    </w:p>
    <w:p>
      <w:pPr>
        <w:pStyle w:val="TextBody"/>
        <w:bidi w:val="0"/>
        <w:spacing w:before="120" w:after="283"/>
        <w:jc w:val="left"/>
        <w:rPr>
          <w:rFonts w:ascii="sans-serif" w:hAnsi="sans-serif"/>
          <w:color w:val="231F20"/>
          <w:sz w:val="20"/>
        </w:rPr>
      </w:pPr>
      <w:r>
        <w:rPr>
          <w:rFonts w:ascii="sans-serif" w:hAnsi="sans-serif"/>
          <w:color w:val="231F20"/>
          <w:sz w:val="20"/>
        </w:rPr>
        <w:t>Financial instruments that potentially subject the Company to significant concentrations of credit risk consist primarily of cash, cash equivalents and marketable securities. The Company maintains deposits in U.S. federally insured financial institutions in excess of federally insured limits. The Company has established guidelines regarding approved investments, credit quality, diversification, liquidity and maturities of investments, which are designed to maintain safety and liquidity. Although management currently believes that the financial institutions with whom it does business will be able to fulfill their commitments to the Company, there is no assurance that those institutions will be able to continue to do so. As of June 30, 2026, the Company has not experienced any losses in its accounts and believes it is not exposed to significant credit risk on its cash balances.</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Fair value measurements</w:t>
      </w:r>
    </w:p>
    <w:p>
      <w:pPr>
        <w:pStyle w:val="TextBody"/>
        <w:bidi w:val="0"/>
        <w:spacing w:before="120" w:after="283"/>
        <w:jc w:val="left"/>
        <w:rPr>
          <w:rFonts w:ascii="sans-serif" w:hAnsi="sans-serif"/>
          <w:color w:val="231F20"/>
          <w:sz w:val="20"/>
        </w:rPr>
      </w:pPr>
      <w:r>
        <w:rPr>
          <w:rFonts w:ascii="sans-serif" w:hAnsi="sans-serif"/>
          <w:color w:val="231F20"/>
          <w:sz w:val="20"/>
        </w:rPr>
        <w:t>Financial assets and liabilities recorded at fair value on a recurring basis in the balance sheets are categorized based upon the level of judgment associated with the inputs used to measure their fair values. Fair value is defined as the price the Company would receive to sell an investment in a timely transaction or pay to transfer a liability in a timely transaction with an independent buyer in the principal market, or in the absence of a principal market, the most advantageous market for the investment or liability.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pStyle w:val="TextBody"/>
        <w:bidi w:val="0"/>
        <w:jc w:val="both"/>
        <w:rPr/>
      </w:pPr>
      <w:r>
        <w:rPr/>
        <w:t> </w:t>
      </w:r>
    </w:p>
    <w:p>
      <w:pPr>
        <w:pStyle w:val="TextBody"/>
        <w:bidi w:val="0"/>
        <w:jc w:val="left"/>
        <w:rPr>
          <w:rFonts w:ascii="sans-serif" w:hAnsi="sans-serif"/>
          <w:color w:val="231F20"/>
          <w:sz w:val="20"/>
        </w:rPr>
      </w:pPr>
      <w:r>
        <w:rPr>
          <w:rFonts w:ascii="sans-serif" w:hAnsi="sans-serif"/>
          <w:color w:val="231F20"/>
          <w:sz w:val="20"/>
        </w:rPr>
        <w:t>The three levels of the fair value hierarchy are as follows:</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0"/>
        </w:rPr>
      </w:pPr>
      <w:r>
        <w:rPr>
          <w:rFonts w:ascii="sans-serif" w:hAnsi="sans-serif"/>
          <w:color w:val="231F20"/>
          <w:sz w:val="20"/>
        </w:rPr>
        <w:t>Level 1—Unadjusted quoted prices in active markets that are accessible at the measurement date for identical, unrestricted assets or liabilities;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0"/>
        </w:rPr>
      </w:pPr>
      <w:r>
        <w:rPr>
          <w:rFonts w:ascii="sans-serif" w:hAnsi="sans-serif"/>
          <w:color w:val="231F20"/>
          <w:sz w:val="20"/>
        </w:rPr>
        <w:t>Level 2—Quoted prices (other than quoted prices in Level 1) in markets that are not considered to be active or financial instrument valuations for which all significant inputs are observable, either directly or indirectly; and</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0"/>
        </w:rPr>
      </w:pPr>
      <w:r>
        <w:rPr>
          <w:rFonts w:ascii="sans-serif" w:hAnsi="sans-serif"/>
          <w:color w:val="231F20"/>
          <w:sz w:val="20"/>
        </w:rPr>
        <w:t>Level 3—Prices or valuations that require inputs that are both significant to the fair value measurement and unobservable.</w:t>
      </w:r>
    </w:p>
    <w:p>
      <w:pPr>
        <w:pStyle w:val="TextBody"/>
        <w:bidi w:val="0"/>
        <w:spacing w:before="4" w:after="283"/>
        <w:jc w:val="both"/>
        <w:rPr/>
      </w:pPr>
      <w:r>
        <w:rPr/>
        <w:t> </w:t>
      </w:r>
    </w:p>
    <w:p>
      <w:pPr>
        <w:pStyle w:val="TextBody"/>
        <w:bidi w:val="0"/>
        <w:jc w:val="left"/>
        <w:rPr>
          <w:rFonts w:ascii="sans-serif" w:hAnsi="sans-serif"/>
          <w:color w:val="231F20"/>
          <w:sz w:val="20"/>
        </w:rPr>
      </w:pPr>
      <w:r>
        <w:rPr>
          <w:rFonts w:ascii="sans-serif" w:hAnsi="sans-serif"/>
          <w:color w:val="231F20"/>
          <w:sz w:val="20"/>
        </w:rPr>
        <w:t>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w:t>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The Company monitors the availability of inputs that are significant to the measurement of fair value to assess the appropriate categorization of financial instruments within the fair value hierarchy. Changes in economic conditions or model-based valuation techniques may require the transfer of financial instruments from one fair value level to another. In such instances, the Company’s policy is to recognize significant transfers between levels at the end of the reporting period. The significance of transfers between levels is evaluated based upon the nature of the financial instrument and size of the transfer relative to total net assets available for benefits.</w:t>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The Company’s cash and cash equivalents, prepaid expenses and other current assets, accounts payable and accrued expenses and other current liabilities approximate their fair value due to their short maturities.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i/>
          <w:color w:val="231F20"/>
          <w:sz w:val="20"/>
        </w:rPr>
      </w:pPr>
      <w:r>
        <w:rPr>
          <w:rFonts w:ascii="sans-serif" w:hAnsi="sans-serif"/>
          <w:b/>
          <w:i/>
          <w:color w:val="231F20"/>
          <w:sz w:val="20"/>
        </w:rPr>
        <w:t>Deferred offering costs</w:t>
      </w:r>
    </w:p>
    <w:p>
      <w:pPr>
        <w:pStyle w:val="TextBody"/>
        <w:bidi w:val="0"/>
        <w:spacing w:before="120" w:after="283"/>
        <w:jc w:val="left"/>
        <w:rPr>
          <w:rFonts w:ascii="sans-serif" w:hAnsi="sans-serif"/>
          <w:color w:val="231F20"/>
          <w:sz w:val="20"/>
        </w:rPr>
      </w:pPr>
      <w:r>
        <w:rPr>
          <w:rFonts w:ascii="sans-serif" w:hAnsi="sans-serif"/>
          <w:color w:val="231F20"/>
          <w:sz w:val="20"/>
        </w:rPr>
        <w:t>Deferred offering costs represent legal, accounting and other direct costs related to the Company’s efforts to raise capital through a public or private sale of the Company’s common stock. These costs are generally deferred until the completion of the applicable offering, at which time such costs are reclassified to additional paid-in-capital as a reduction of the proceeds. In the instance where a planned equity financing is abandoned, terminated or significantly delayed, the deferred offering costs are recorded as expense in the period of such determination.</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Property and equipment, net</w:t>
      </w:r>
    </w:p>
    <w:p>
      <w:pPr>
        <w:pStyle w:val="TextBody"/>
        <w:bidi w:val="0"/>
        <w:spacing w:before="120" w:after="283"/>
        <w:jc w:val="left"/>
        <w:rPr>
          <w:rFonts w:ascii="sans-serif" w:hAnsi="sans-serif"/>
          <w:color w:val="231F20"/>
          <w:sz w:val="20"/>
        </w:rPr>
      </w:pPr>
      <w:r>
        <w:rPr>
          <w:rFonts w:ascii="sans-serif" w:hAnsi="sans-serif"/>
          <w:color w:val="231F20"/>
          <w:sz w:val="20"/>
        </w:rPr>
        <w:t>Property and equipment are stated at cost, net of accumulated depreciation and amortization. Expenditures for repairs and maintenance are expensed as incurred. When assets are retired or disposed of, the assets and related accumulated depreciation are eliminated from the accounts, and any resulting gain or loss is included in the determination of net income or loss. Depreciation is calculated using the straight-line method over the estimated useful lives of the related assets. Leasehold improvements are amortized over the shorter of the lease term or the estimated useful life of the asset.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0"/>
        </w:rPr>
        <w:t>The estimated useful lives of the Company's property and equipment are generally three</w:t>
      </w:r>
      <w:r>
        <w:rPr>
          <w:rFonts w:ascii="Times New Roman" w:hAnsi="Times New Roman"/>
          <w:color w:val="231F20"/>
          <w:sz w:val="20"/>
        </w:rPr>
        <w:t xml:space="preserve"> </w:t>
      </w:r>
      <w:r>
        <w:rPr>
          <w:rFonts w:ascii="sans-serif" w:hAnsi="sans-serif"/>
          <w:color w:val="231F20"/>
          <w:sz w:val="20"/>
        </w:rPr>
        <w:t>to five years.</w:t>
      </w:r>
    </w:p>
    <w:p>
      <w:pPr>
        <w:pStyle w:val="TextBody"/>
        <w:bidi w:val="0"/>
        <w:spacing w:before="5" w:after="283"/>
        <w:jc w:val="left"/>
        <w:rPr/>
      </w:pPr>
      <w:r>
        <w:rPr/>
        <w:t> </w:t>
      </w:r>
    </w:p>
    <w:p>
      <w:pPr>
        <w:pStyle w:val="TextBody"/>
        <w:bidi w:val="0"/>
        <w:jc w:val="left"/>
        <w:rPr>
          <w:rFonts w:ascii="sans-serif" w:hAnsi="sans-serif"/>
          <w:color w:val="231F20"/>
          <w:sz w:val="20"/>
        </w:rPr>
      </w:pPr>
      <w:r>
        <w:rPr>
          <w:rFonts w:ascii="sans-serif" w:hAnsi="sans-serif"/>
          <w:color w:val="231F20"/>
          <w:sz w:val="20"/>
        </w:rPr>
        <w:t>Refer to Note 6 for further discussion.</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Impairment of long-lived assets</w:t>
      </w:r>
    </w:p>
    <w:p>
      <w:pPr>
        <w:pStyle w:val="TextBody"/>
        <w:bidi w:val="0"/>
        <w:spacing w:before="120" w:after="283"/>
        <w:jc w:val="left"/>
        <w:rPr>
          <w:rFonts w:ascii="Times New Roman" w:hAnsi="Times New Roman"/>
          <w:sz w:val="20"/>
        </w:rPr>
      </w:pPr>
      <w:r>
        <w:rPr>
          <w:rFonts w:ascii="sans-serif" w:hAnsi="sans-serif"/>
          <w:color w:val="231F20"/>
          <w:sz w:val="20"/>
        </w:rPr>
        <w:t>The Company evaluates long-lived assets for impairment at least annually, or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No</w:t>
      </w:r>
      <w:r>
        <w:rPr>
          <w:rFonts w:ascii="Times New Roman" w:hAnsi="Times New Roman"/>
          <w:color w:val="231F20"/>
          <w:sz w:val="20"/>
        </w:rPr>
        <w:t xml:space="preserve"> </w:t>
      </w:r>
      <w:r>
        <w:rPr>
          <w:rFonts w:ascii="sans-serif" w:hAnsi="sans-serif"/>
          <w:color w:val="231F20"/>
          <w:sz w:val="20"/>
        </w:rPr>
        <w:t>material impairment losses were recognized during the periods presented.</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Leases</w:t>
      </w:r>
    </w:p>
    <w:p>
      <w:pPr>
        <w:pStyle w:val="TextBody"/>
        <w:bidi w:val="0"/>
        <w:spacing w:before="120" w:after="283"/>
        <w:jc w:val="left"/>
        <w:rPr>
          <w:rFonts w:ascii="sans-serif" w:hAnsi="sans-serif"/>
          <w:color w:val="231F20"/>
          <w:sz w:val="20"/>
        </w:rPr>
      </w:pPr>
      <w:r>
        <w:rPr>
          <w:rFonts w:ascii="sans-serif" w:hAnsi="sans-serif"/>
          <w:color w:val="231F2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("ROU") asset upon commencement of the lease using the implicit rate or a discount rate based on a credit-adjusted secured borrowing rate commensurate with the term of the lease. Certain leases include renewal options at the lessee’s election, which are included when recording the lease if it is reasonably certain that the renewal option will be exercised. Operating lease assets represent a right to use an underlying asset for the lease term and operating lease liabilities represent an obligation to make lease payments arising from the lease. Operating lease liabilities with a term greater than one year and their corresponding ROU assets are recognized on the balance sheet at the commencement date of the lease based on the present value of lease payments over the expected lease term.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not to separate between lease and non-lease components.</w:t>
      </w:r>
    </w:p>
    <w:p>
      <w:pPr>
        <w:pStyle w:val="TextBody"/>
        <w:bidi w:val="0"/>
        <w:spacing w:before="5" w:after="283"/>
        <w:jc w:val="left"/>
        <w:rPr/>
      </w:pPr>
      <w:r>
        <w:rPr/>
        <w:t> </w:t>
      </w:r>
    </w:p>
    <w:p>
      <w:pPr>
        <w:pStyle w:val="TextBody"/>
        <w:bidi w:val="0"/>
        <w:jc w:val="left"/>
        <w:rPr>
          <w:rFonts w:ascii="sans-serif" w:hAnsi="sans-serif"/>
          <w:color w:val="231F20"/>
          <w:sz w:val="20"/>
        </w:rPr>
      </w:pPr>
      <w:r>
        <w:rPr>
          <w:rFonts w:ascii="sans-serif" w:hAnsi="sans-serif"/>
          <w:color w:val="231F20"/>
          <w:sz w:val="20"/>
        </w:rPr>
        <w:t>Operating ROU assets are reflected in operating lease right-of-use assets on the balance sheets. Operating lease liabilities are reflected in accrued expenses and other current liabilities and long-term liabilities on the balance sheets.</w:t>
      </w:r>
    </w:p>
    <w:p>
      <w:pPr>
        <w:pStyle w:val="TextBody"/>
        <w:bidi w:val="0"/>
        <w:jc w:val="left"/>
        <w:rPr/>
      </w:pPr>
      <w:r>
        <w:rPr/>
        <w:t> </w:t>
      </w:r>
    </w:p>
    <w:p>
      <w:pPr>
        <w:pStyle w:val="TextBody"/>
        <w:bidi w:val="0"/>
        <w:jc w:val="both"/>
        <w:rPr>
          <w:rFonts w:ascii="sans-serif" w:hAnsi="sans-serif"/>
          <w:b/>
          <w:i/>
          <w:color w:val="231F20"/>
          <w:sz w:val="20"/>
        </w:rPr>
      </w:pPr>
      <w:r>
        <w:rPr>
          <w:rFonts w:ascii="sans-serif" w:hAnsi="sans-serif"/>
          <w:b/>
          <w:i/>
          <w:color w:val="231F20"/>
          <w:sz w:val="20"/>
        </w:rPr>
        <w:t>CVR asset and liability</w:t>
      </w:r>
    </w:p>
    <w:p>
      <w:pPr>
        <w:pStyle w:val="TextBody"/>
        <w:bidi w:val="0"/>
        <w:spacing w:before="120" w:after="283"/>
        <w:jc w:val="both"/>
        <w:rPr>
          <w:rFonts w:ascii="Times New Roman" w:hAnsi="Times New Roman"/>
          <w:sz w:val="20"/>
        </w:rPr>
      </w:pPr>
      <w:r>
        <w:rPr>
          <w:rFonts w:ascii="sans-serif" w:hAnsi="sans-serif"/>
          <w:color w:val="231F20"/>
          <w:sz w:val="20"/>
        </w:rPr>
        <w:t xml:space="preserve">The Company evaluates its contracts to determine if those contracts qualify as derivatives under ASC 815, </w:t>
      </w:r>
      <w:r>
        <w:rPr>
          <w:rFonts w:ascii="sans-serif" w:hAnsi="sans-serif"/>
          <w:i/>
          <w:color w:val="231F20"/>
          <w:sz w:val="20"/>
        </w:rPr>
        <w:t>Derivatives and Hedging</w:t>
      </w:r>
      <w:r>
        <w:rPr>
          <w:rFonts w:ascii="sans-serif" w:hAnsi="sans-serif"/>
          <w:color w:val="231F20"/>
          <w:sz w:val="20"/>
        </w:rPr>
        <w:t>. For derivative financial instruments that are accounted for as assets or liabilities, the derivative instrument is initially recorded at its fair value and is then re-valued at each reporting date. Any changes in fair value are recorded as other income or expense for each reporting period. Derivative instrument assets or liabilities are classified in the balance sheet as current or non-current based on whether or not net-cash settlement of the derivative instrument is probable within the next 12 months from the balance sheet date.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231F20"/>
          <w:sz w:val="20"/>
        </w:rPr>
        <w:t>On February 23, 2023, prior to the effective time of the Merger, the Company entered into a Contingent Value Rights Agreement (the “CVR Agreement”) with a rights agent, pursuant to which the Company’s pre-Merger common stockholders received one</w:t>
      </w:r>
      <w:r>
        <w:rPr>
          <w:rFonts w:ascii="Times New Roman" w:hAnsi="Times New Roman"/>
          <w:color w:val="231F20"/>
          <w:sz w:val="20"/>
        </w:rPr>
        <w:t xml:space="preserve"> </w:t>
      </w:r>
      <w:r>
        <w:rPr>
          <w:rFonts w:ascii="sans-serif" w:hAnsi="sans-serif"/>
          <w:color w:val="231F20"/>
          <w:sz w:val="20"/>
        </w:rPr>
        <w:t>contingent value right (each, a “CVR”) for each outstanding share of the Company’s common stock held by such stockholder as of February 22, 2023. Each CVR represents the contractual right to receive payments upon the occurrence of certain events related to the Company’s sale of certain assets prior to the completion of the Merger, in each case subject to, and in accordance with, the terms and conditions of the CVR Agreement. Under the CVR Agreement, the Company is only liable to the CVR holders once it has received payments from the third-party that purchased the assets, which will only occur upon the third-party achieving certain development milestones related to the assets purchased. In accordance with the CVR Agreement, any distributions to the Company for these milestone payments are then subsequently remitted to the CVR holders, net of permitted deductions, if any. Pursuant to the terms of an asset purchase agreement with a third-party, the Company is eligible to receive two potential milestones, one for $10.0</w:t>
      </w:r>
      <w:r>
        <w:rPr>
          <w:rFonts w:ascii="Times New Roman" w:hAnsi="Times New Roman"/>
          <w:color w:val="231F20"/>
          <w:sz w:val="20"/>
        </w:rPr>
        <w:t xml:space="preserve"> </w:t>
      </w:r>
      <w:r>
        <w:rPr>
          <w:rFonts w:ascii="sans-serif" w:hAnsi="sans-serif"/>
          <w:color w:val="231F20"/>
          <w:sz w:val="20"/>
        </w:rPr>
        <w:t>million and a second for $50.0</w:t>
      </w:r>
      <w:r>
        <w:rPr>
          <w:rFonts w:ascii="Times New Roman" w:hAnsi="Times New Roman"/>
          <w:color w:val="231F20"/>
          <w:sz w:val="20"/>
        </w:rPr>
        <w:t xml:space="preserve"> </w:t>
      </w:r>
      <w:r>
        <w:rPr>
          <w:rFonts w:ascii="sans-serif" w:hAnsi="sans-serif"/>
          <w:color w:val="231F20"/>
          <w:sz w:val="20"/>
        </w:rPr>
        <w:t>million. The Company has no involvement, control or influence over the development of such assets.</w:t>
      </w:r>
    </w:p>
    <w:p>
      <w:pPr>
        <w:pStyle w:val="TextBody"/>
        <w:bidi w:val="0"/>
        <w:jc w:val="both"/>
        <w:rPr/>
      </w:pPr>
      <w:r>
        <w:rPr/>
        <w:t> </w:t>
      </w:r>
    </w:p>
    <w:p>
      <w:pPr>
        <w:pStyle w:val="TextBody"/>
        <w:bidi w:val="0"/>
        <w:jc w:val="both"/>
        <w:rPr>
          <w:rFonts w:ascii="sans-serif" w:hAnsi="sans-serif"/>
          <w:color w:val="231F20"/>
          <w:sz w:val="20"/>
        </w:rPr>
      </w:pPr>
      <w:r>
        <w:rPr>
          <w:rFonts w:ascii="sans-serif" w:hAnsi="sans-serif"/>
          <w:color w:val="231F20"/>
          <w:sz w:val="20"/>
        </w:rPr>
        <w:t>The Company determined that certain contingent payments under the CVR Agreement and milestone payments related to the asset sales prior to the Merger qualified as derivatives under ASC 815. Upon such time that these payments are assessed a fair value, they would be recorded as a liability and asset, respectively, on the balance sheet. These values are then remeasured for future expected payout or receipt, as well as the increase in fair value due to the time value of money. These gains or losses are recognized in the consolidated statements of operations and comprehensive loss within Other income (expense), net.</w:t>
      </w:r>
    </w:p>
    <w:p>
      <w:pPr>
        <w:pStyle w:val="TextBody"/>
        <w:bidi w:val="0"/>
        <w:jc w:val="left"/>
        <w:rPr>
          <w:rFonts w:ascii="Times New Roman" w:hAnsi="Times New Roman"/>
          <w:sz w:val="20"/>
        </w:rPr>
      </w:pPr>
      <w:r>
        <w:rPr>
          <w:rFonts w:ascii="sans-serif" w:hAnsi="sans-serif"/>
          <w:color w:val="231F20"/>
          <w:sz w:val="20"/>
        </w:rPr>
        <w:t xml:space="preserve">The Company applies a scenario-based method and weighs them based on the possible achievement of certain milestones for both the asset and liability recognized. The fair value measurements are based on significant inputs not observable in the market and thus represent a Level 3 measurement as defined in ASC 820, </w:t>
      </w:r>
      <w:r>
        <w:rPr>
          <w:rFonts w:ascii="sans-serif" w:hAnsi="sans-serif"/>
          <w:i/>
          <w:color w:val="231F20"/>
          <w:sz w:val="20"/>
        </w:rPr>
        <w:t>Fair Value Measurement</w:t>
      </w:r>
      <w:r>
        <w:rPr>
          <w:rFonts w:ascii="sans-serif" w:hAnsi="sans-serif"/>
          <w:color w:val="231F20"/>
          <w:sz w:val="20"/>
        </w:rPr>
        <w:t>. The estimated value of the CVR and milestone consideration are based upon available information and certain assumptions, which the Company's management believes are reasonable under the circumstances.</w:t>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Refer to Note 3 for further discussion.</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Research and development expenses</w:t>
      </w:r>
    </w:p>
    <w:p>
      <w:pPr>
        <w:pStyle w:val="TextBody"/>
        <w:bidi w:val="0"/>
        <w:spacing w:before="120" w:after="283"/>
        <w:jc w:val="left"/>
        <w:rPr>
          <w:rFonts w:ascii="sans-serif" w:hAnsi="sans-serif"/>
          <w:color w:val="231F20"/>
          <w:sz w:val="20"/>
        </w:rPr>
      </w:pPr>
      <w:r>
        <w:rPr>
          <w:rFonts w:ascii="sans-serif" w:hAnsi="sans-serif"/>
          <w:color w:val="231F20"/>
          <w:sz w:val="20"/>
        </w:rPr>
        <w:t>The Company expenses research and development costs as incurred. Research and development expenses consist primarily of costs incurred for the discovery and development of its product candidates and include consultants and supplies to conduct clinical, preclinical, and non-clinical studies, costs to acquire, develop and manufacture supplies for preclinical and clinical testing and other studies, expenses incurred under agreements with contract research organizations, and salaries and related costs, including stock-based compensation, as well as depreciation and other allocated facility-related and overhead expenses. Advance payments for goods or services for future research and development activities are deferred and expensed as the goods are delivered or the related services are performed.</w:t>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The Company estimates clinical and preclinical study expenses based on the services performed pursuant to contracts with research institutions and clinical research organizations that conduct and manage preclinical studies and clinical trials on the Company’s behalf. In addition, clinical, preclinical, and non-clinical study materials are manufactured by contract manufacturing organizations. In accruing for these services, the Company estimates the time period over which services will be performed and the level of effort to be expended in each period. These estimates are based on communications with the third-party service providers and the Company’s estimates of accrued costs and on information available at each balance sheet date. If the actual timing of the performance of services or the level of effort varies from the estimate, the Company will adjust the accrual accordingly.</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Stock-based compensation</w:t>
      </w:r>
    </w:p>
    <w:p>
      <w:pPr>
        <w:pStyle w:val="TextBody"/>
        <w:bidi w:val="0"/>
        <w:spacing w:before="120" w:after="283"/>
        <w:jc w:val="left"/>
        <w:rPr>
          <w:rFonts w:ascii="sans-serif" w:hAnsi="sans-serif"/>
          <w:color w:val="231F20"/>
          <w:sz w:val="20"/>
        </w:rPr>
      </w:pPr>
      <w:r>
        <w:rPr>
          <w:rFonts w:ascii="sans-serif" w:hAnsi="sans-serif"/>
          <w:color w:val="231F20"/>
          <w:sz w:val="20"/>
        </w:rPr>
        <w:t>The Company measures and records the expense related to stock-based payment awards based on the estimated grant-date fair value of those awards. The Company uses the Black-Scholes option pricing model to determine the fair value of the stock-based awards. The Black-Scholes option pricing model requires the Company to make assumptions and judgments about the variables used in the calculations, including the expected term, expected volatility of its common stock, risk-free interest rate and expected dividend yield. The Company recognizes stock-based compensation expense for service-based awards over the requisite service period on a straight-line basis for stock-based awards to employees, non-employees and directors, including grants of stock options and other stock-based awards. As the stock-based compensation is based on awards ultimately expected to vest, it is reduced by forfeitures, which the Company accounts for as they occur. For awards with performance-based and service-based vesting conditions, stock-based compensation expense is recognized when it is probable that the performance condition will be achieved. The Company assesses the probability of achieving the performance conditions at the end of each reporting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The Company classifies equity-based compensation expense in the statement of operations and comprehensive loss in the same manner in which the award recipients’ payroll costs are classified or in which the award recipients’ service payments are classified.</w:t>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Black-Scholes requires the use of subjective assumptions, which determine the fair value of stock-based awards. These assumptions include:</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0"/>
        </w:rPr>
      </w:pPr>
      <w:r>
        <w:rPr>
          <w:rFonts w:ascii="sans-serif" w:hAnsi="sans-serif"/>
          <w:color w:val="231F20"/>
          <w:sz w:val="20"/>
        </w:rPr>
        <w:t>Expected Term—The expected term represents the period that the Company’s options are expected to be outstanding and is determined using the simplified method (based on the mid-point between the vesting date and the end of the contractual term). The Company has very limited historical information to develop reasonable expectations about future exercise patterns and post-vesting employment termination behavior for its stock option grants.</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0"/>
        </w:rPr>
      </w:pPr>
      <w:r>
        <w:rPr>
          <w:rFonts w:ascii="sans-serif" w:hAnsi="sans-serif"/>
          <w:color w:val="231F20"/>
          <w:sz w:val="20"/>
        </w:rPr>
        <w:t>Expected Volatility—The expected stock price volatilities are estimated based on the historical and implied volatilities of comparable publicly traded companies as the Company does not have sufficient history of trading its common stock.</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0"/>
        </w:rPr>
      </w:pPr>
      <w:r>
        <w:rPr>
          <w:rFonts w:ascii="sans-serif" w:hAnsi="sans-serif"/>
          <w:color w:val="231F20"/>
          <w:sz w:val="20"/>
        </w:rPr>
        <w:t>Risk-Free Interest Rate—The risk-free interest rates are based on U.S. Treasury yields in effect at the grant date for notes with comparable terms as the awards.</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0"/>
        </w:rPr>
      </w:pPr>
      <w:r>
        <w:rPr>
          <w:rFonts w:ascii="sans-serif" w:hAnsi="sans-serif"/>
          <w:color w:val="231F20"/>
          <w:sz w:val="20"/>
        </w:rPr>
        <w:t>Expected Dividend Yield—The Company has never paid dividends on its common stock and has no plans to do so in the future. Therefore, the Company used an expected dividend of zero.</w:t>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The assumptions underlying these valuations represented the Company’s best estimates, which involved inherent uncertainties and the application of management’s judgment. As a result, if the Company had used significantly different assumptions or estimates, the fair value of its stock-based compensation expense could be materially different.</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Income taxes</w:t>
      </w:r>
    </w:p>
    <w:p>
      <w:pPr>
        <w:pStyle w:val="TextBody"/>
        <w:bidi w:val="0"/>
        <w:spacing w:before="120" w:after="283"/>
        <w:jc w:val="left"/>
        <w:rPr>
          <w:rFonts w:ascii="sans-serif" w:hAnsi="sans-serif"/>
          <w:color w:val="231F20"/>
          <w:sz w:val="20"/>
        </w:rPr>
      </w:pPr>
      <w:r>
        <w:rPr>
          <w:rFonts w:ascii="sans-serif" w:hAnsi="sans-serif"/>
          <w:color w:val="231F20"/>
          <w:sz w:val="20"/>
        </w:rPr>
        <w:t>Income taxes are accounted for using the asset and liability method, which requires the recognition of deferred tax assets and liabilities for the expected future tax consequences of events that have been recognized in the consolidated financial statements or the Company’s tax return. Under this method, deferred tax assets and liabilities are determined based on the differences between the financial statement carrying amounts of existing assets and liabilities and their respective tax bases using the enacted tax rates expected to apply to taxable income in the years in which those temporary differences are expected to be recovered or settled. Changes in deferred tax assets and liabilities are recorded in the provision for income taxes. The effect on deferred tax assets and liabilities of a change in tax rates is recognized in income in the period of enactment. Valuation allowances are established, when necessary, to reduce deferred tax assets to the amount expected to be realized. The Company has generated significant net losses since its inception and accordingly has not recorded a provision for income taxes, except for income taxes related to the CVR milestone payment for the year ended December 31, 2024, as discussed in Note 3.</w:t>
      </w:r>
    </w:p>
    <w:p>
      <w:pPr>
        <w:pStyle w:val="TextBody"/>
        <w:bidi w:val="0"/>
        <w:jc w:val="left"/>
        <w:rPr>
          <w:rFonts w:ascii="Times New Roman" w:hAnsi="Times New Roman"/>
          <w:sz w:val="20"/>
        </w:rPr>
      </w:pPr>
      <w:r>
        <w:rPr>
          <w:rFonts w:ascii="sans-serif" w:hAnsi="sans-serif"/>
          <w:color w:val="231F20"/>
          <w:sz w:val="20"/>
        </w:rPr>
        <w:t>The Company evaluates its uncertain tax positions using the provisions of ASC Topic 740</w:t>
      </w:r>
      <w:r>
        <w:rPr>
          <w:rFonts w:ascii="sans-serif" w:hAnsi="sans-serif"/>
          <w:i/>
          <w:color w:val="231F20"/>
          <w:sz w:val="20"/>
        </w:rPr>
        <w:t xml:space="preserve">, Income taxes, </w:t>
      </w:r>
      <w:r>
        <w:rPr>
          <w:rFonts w:ascii="sans-serif" w:hAnsi="sans-serif"/>
          <w:color w:val="231F20"/>
          <w:sz w:val="20"/>
        </w:rPr>
        <w:t>which prescribes a recognition threshold that a tax position is required to meet before being recognized in the consolidated financial statements by using a "more-likely-than-not" criteria for financial statement recognition and measurement of a tax position taken or expected to be taken in a tax return. The Company recognizes a tax benefit from an uncertain tax position if it is more likely than not that the tax position will be sustained upon examination by the tax authorities, based on the merits of the position. The provision for income taxes includes the effects of any resulting tax reserves, or unrecognized tax benefits, which are considered appropriate as well as the related net interest and penalties. As of June 30, 2026, there have been no</w:t>
      </w:r>
      <w:r>
        <w:rPr>
          <w:rFonts w:ascii="Times New Roman" w:hAnsi="Times New Roman"/>
          <w:color w:val="231F20"/>
          <w:sz w:val="20"/>
        </w:rPr>
        <w:t xml:space="preserve"> </w:t>
      </w:r>
      <w:r>
        <w:rPr>
          <w:rFonts w:ascii="sans-serif" w:hAnsi="sans-serif"/>
          <w:color w:val="231F20"/>
          <w:sz w:val="20"/>
        </w:rPr>
        <w:t>interest or penalties charged in relation to the unrecognized tax benefits.</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Net loss per share</w:t>
      </w:r>
    </w:p>
    <w:p>
      <w:pPr>
        <w:pStyle w:val="TextBody"/>
        <w:bidi w:val="0"/>
        <w:spacing w:before="120" w:after="283"/>
        <w:jc w:val="left"/>
        <w:rPr>
          <w:rFonts w:ascii="sans-serif" w:hAnsi="sans-serif"/>
          <w:color w:val="231F20"/>
          <w:sz w:val="20"/>
        </w:rPr>
      </w:pPr>
      <w:r>
        <w:rPr>
          <w:rFonts w:ascii="sans-serif" w:hAnsi="sans-serif"/>
          <w:color w:val="231F20"/>
          <w:sz w:val="20"/>
        </w:rPr>
        <w:t>Basic net loss per share of common stock is computed by dividing net loss by the weighted-average number of shares of common stock outstanding during each period, including pre-funded warrants to purchase shares of common stock. The weighted-average number of shares of common stock outstanding used in the basic net loss per share calculation does not include unvested restricted common stock as these shares are considered contingently issuable shares until they vest.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0"/>
        </w:rPr>
        <w:t>Diluted net loss per share of common stock includes the effect, if any, from the potential exercise or conversion of securities, such as stock options, unvested early exercised common stock and unvested restricted common stock, which would result in the issuance of incremental shares of common stock. For diluted net loss per share, the weighted-average number of shares of common stock is the same for basic net loss per share due to the fact that when a net loss exists, dilutive securities are not</w:t>
      </w:r>
      <w:r>
        <w:rPr>
          <w:rFonts w:ascii="Times New Roman" w:hAnsi="Times New Roman"/>
          <w:color w:val="231F2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included in the calculation as the impact is anti-dilutive. For all periods presented, basic and diluted net loss per share were the same, as any additional share equivalents would be anti-dilutive.</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Segments</w:t>
      </w:r>
    </w:p>
    <w:p>
      <w:pPr>
        <w:pStyle w:val="TextBody"/>
        <w:bidi w:val="0"/>
        <w:spacing w:before="120" w:after="283"/>
        <w:jc w:val="left"/>
        <w:rPr>
          <w:rFonts w:ascii="Times New Roman" w:hAnsi="Times New Roman"/>
          <w:sz w:val="20"/>
        </w:rPr>
      </w:pPr>
      <w:r>
        <w:rPr>
          <w:rFonts w:ascii="sans-serif" w:hAnsi="sans-serif"/>
          <w:color w:val="231F20"/>
          <w:sz w:val="20"/>
        </w:rPr>
        <w:t>The Company’s chief operating decision maker ("CODM") is the Chief Executive Officer. The Company has determined that it operates in one</w:t>
      </w:r>
      <w:r>
        <w:rPr>
          <w:rFonts w:ascii="Times New Roman" w:hAnsi="Times New Roman"/>
          <w:color w:val="231F20"/>
          <w:sz w:val="20"/>
        </w:rPr>
        <w:t xml:space="preserve"> </w:t>
      </w:r>
      <w:r>
        <w:rPr>
          <w:rFonts w:ascii="sans-serif" w:hAnsi="sans-serif"/>
          <w:color w:val="231F20"/>
          <w:sz w:val="20"/>
        </w:rPr>
        <w:t>operating segment as it only reports operating results on an aggregate basis to the CODM. The Company manages business activities on a consolidated basis and has not generated any operating revenue to date. Consolidated net income (loss) is the measure of segment profit or loss.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0"/>
        </w:rPr>
        <w:t>While the Company operates as a single</w:t>
      </w:r>
      <w:r>
        <w:rPr>
          <w:rFonts w:ascii="Times New Roman" w:hAnsi="Times New Roman"/>
          <w:color w:val="231F20"/>
          <w:sz w:val="20"/>
        </w:rPr>
        <w:t xml:space="preserve"> </w:t>
      </w:r>
      <w:r>
        <w:rPr>
          <w:rFonts w:ascii="sans-serif" w:hAnsi="sans-serif"/>
          <w:color w:val="231F20"/>
          <w:sz w:val="20"/>
        </w:rPr>
        <w:t>reportable segment, the Company’s external research and development expenses for ELVN-001 and ELVN-002 are tracked and regularly reported to the CODM. Research and development costs consist primarily of external costs, such as fees paid to contract research organizations, contract manufacturing organizations, consultants and contractors, in connection with clinical, preclinical and research activities, as well as internal costs, such as personnel costs, including stock-based compensation, facilities-related expenses, depreciation, laboratory supplies, travel expenses and other allocated expenses. The CODM regularly uses program progress, clinical data and cash balance, as well as ELVN-001, ELVN-002 and other program external expenses, to assess segment performance and make decisions about resource allocation. The measure of segment assets is reported on the balance sheet as total consolidated assets.</w:t>
      </w:r>
    </w:p>
    <w:p>
      <w:pPr>
        <w:pStyle w:val="TextBody"/>
        <w:bidi w:val="0"/>
        <w:jc w:val="left"/>
        <w:rPr/>
      </w:pPr>
      <w:r>
        <w:rPr/>
        <w:t> </w:t>
      </w:r>
    </w:p>
    <w:p>
      <w:pPr>
        <w:pStyle w:val="TextBody"/>
        <w:bidi w:val="0"/>
        <w:jc w:val="left"/>
        <w:rPr>
          <w:rFonts w:ascii="sans-serif" w:hAnsi="sans-serif"/>
          <w:color w:val="231F20"/>
          <w:sz w:val="20"/>
        </w:rPr>
      </w:pPr>
      <w:r>
        <w:rPr>
          <w:rFonts w:ascii="sans-serif" w:hAnsi="sans-serif"/>
          <w:color w:val="231F20"/>
          <w:sz w:val="20"/>
        </w:rPr>
        <w:t>See Note 11 for segment financial information.</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Comprehensive income (loss)</w:t>
      </w:r>
    </w:p>
    <w:p>
      <w:pPr>
        <w:pStyle w:val="TextBody"/>
        <w:bidi w:val="0"/>
        <w:spacing w:before="120" w:after="283"/>
        <w:jc w:val="left"/>
        <w:rPr>
          <w:rFonts w:ascii="sans-serif" w:hAnsi="sans-serif"/>
          <w:color w:val="231F20"/>
          <w:sz w:val="20"/>
        </w:rPr>
      </w:pPr>
      <w:r>
        <w:rPr>
          <w:rFonts w:ascii="sans-serif" w:hAnsi="sans-serif"/>
          <w:color w:val="231F20"/>
          <w:sz w:val="20"/>
        </w:rPr>
        <w:t>Comprehensive income (loss) is defined as the change in equity of a business enterprise during a period from transactions and other events and circumstances from non-owner sources, which includes net income (loss) and other comprehensive income (loss). Other comprehensive income (loss) includes unrealized gains and losses on marketable securities, other than losses attributable to a credit loss, which are included in other income and expense. The Company's only component of other comprehensive income (loss) is related to unrealized gains and losses on marketable securities.</w:t>
      </w:r>
    </w:p>
    <w:p>
      <w:pPr>
        <w:pStyle w:val="TextBody"/>
        <w:bidi w:val="0"/>
        <w:jc w:val="both"/>
        <w:rPr/>
      </w:pPr>
      <w:r>
        <w:rPr/>
        <w:t> </w:t>
      </w:r>
    </w:p>
    <w:p>
      <w:pPr>
        <w:pStyle w:val="TextBody"/>
        <w:bidi w:val="0"/>
        <w:jc w:val="both"/>
        <w:rPr>
          <w:rFonts w:ascii="sans-serif" w:hAnsi="sans-serif"/>
          <w:b/>
          <w:i/>
          <w:color w:val="231F20"/>
          <w:sz w:val="20"/>
        </w:rPr>
      </w:pPr>
      <w:r>
        <w:rPr>
          <w:rFonts w:ascii="sans-serif" w:hAnsi="sans-serif"/>
          <w:b/>
          <w:i/>
          <w:color w:val="231F20"/>
          <w:sz w:val="20"/>
        </w:rPr>
        <w:t>Emerging growth company status</w:t>
      </w:r>
    </w:p>
    <w:p>
      <w:pPr>
        <w:pStyle w:val="TextBody"/>
        <w:bidi w:val="0"/>
        <w:spacing w:before="120" w:after="283"/>
        <w:jc w:val="left"/>
        <w:rPr>
          <w:rFonts w:ascii="sans-serif" w:hAnsi="sans-serif"/>
          <w:color w:val="231F20"/>
          <w:sz w:val="20"/>
        </w:rPr>
      </w:pPr>
      <w:r>
        <w:rPr>
          <w:rFonts w:ascii="sans-serif" w:hAnsi="sans-serif"/>
          <w:color w:val="231F20"/>
          <w:sz w:val="20"/>
        </w:rPr>
        <w:t>The Company ceased to be an emerging growth company, as defined in the Jumpstart Our Business Startups Act of 2012 (the “JOBS Act”), as of December 31, 2025. While the Company was an emerging growth company, it was permitted under the JOBS Act to delay adopting new or revised accounting standards issued subsequent to the enactment of the JOBS Act until such time as those standards applied to private companies. The Company elected to use this extended transition period for complying with new or revised accounting standards that had different effective dates for public and private companies until it ceased to be an emerging growth company. As a result of no longer qualifying as an emerging growth company, the Company is no longer permitted to take advantage of the extended transition period for complying with new or revised accounting standards, and its financial statements are prepared in accordance with accounting standards applicable to public companies.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0"/>
        </w:rPr>
        <w:t>The Company was previously a “smaller reporting company.” Based on the market value of its common stock held by non-affiliates exceeding $700.0</w:t>
      </w:r>
      <w:r>
        <w:rPr>
          <w:rFonts w:ascii="Times New Roman" w:hAnsi="Times New Roman"/>
          <w:color w:val="231F20"/>
          <w:sz w:val="20"/>
        </w:rPr>
        <w:t xml:space="preserve"> </w:t>
      </w:r>
      <w:r>
        <w:rPr>
          <w:rFonts w:ascii="sans-serif" w:hAnsi="sans-serif"/>
          <w:color w:val="231F20"/>
          <w:sz w:val="20"/>
        </w:rPr>
        <w:t>million as of June 30, 2025, the Company ceased to qualify as a smaller reporting company beginning with its Form 10-Q for the first fiscal quarter of 2026 and will remain a non-accelerated filer through 2026.</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Accounting pronouncements not yet adopted</w:t>
      </w:r>
    </w:p>
    <w:p>
      <w:pPr>
        <w:pStyle w:val="TextBody"/>
        <w:bidi w:val="0"/>
        <w:spacing w:before="120" w:after="283"/>
        <w:jc w:val="left"/>
        <w:rPr>
          <w:rFonts w:ascii="Times New Roman" w:hAnsi="Times New Roman"/>
          <w:sz w:val="20"/>
        </w:rPr>
      </w:pPr>
      <w:r>
        <w:rPr>
          <w:rFonts w:ascii="sans-serif" w:hAnsi="sans-serif"/>
          <w:color w:val="000000"/>
          <w:sz w:val="20"/>
        </w:rPr>
        <w:t xml:space="preserve">In October 2023, the FASB issued ASU 2023-06, </w:t>
      </w:r>
      <w:r>
        <w:rPr>
          <w:rFonts w:ascii="sans-serif" w:hAnsi="sans-serif"/>
          <w:i/>
          <w:color w:val="000000"/>
          <w:sz w:val="20"/>
        </w:rPr>
        <w:t>Disclosure Improvements: Codification Amendments in Response to the SEC’s Disclosure Update and Simplification Initiative</w:t>
      </w:r>
      <w:r>
        <w:rPr>
          <w:rFonts w:ascii="sans-serif" w:hAnsi="sans-serif"/>
          <w:color w:val="000000"/>
          <w:sz w:val="20"/>
        </w:rPr>
        <w:t>, which amends the disclosure or presentation requirements related to various subtopics in the FASB ASC. ASU 2023-06 was issued in response to the SEC's August 2018 final rule that updated and simplified disclosure requirements and is intended to align U.S. GAAP requirements with those of the SEC and to facilitate the application of U.S. GAAP for all entities.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However, if by June 30, 2027, the SEC has not removed the related disclosure from its regulations, the amendments will be removed from the Codification and not become effective for any entity. The Company is currently evaluating the impact of this guidance, but does not expect the adoption of this guidance to have a material impact on its consolidated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 xml:space="preserve">In November 2024, the FASB issued ASU 2024-03, </w:t>
      </w:r>
      <w:r>
        <w:rPr>
          <w:rFonts w:ascii="sans-serif" w:hAnsi="sans-serif"/>
          <w:i/>
          <w:color w:val="000000"/>
          <w:sz w:val="20"/>
        </w:rPr>
        <w:t>Income Statement—Reporting Comprehensive Income—Expense Disaggregation Disclosures (Subtopic 220-40): Disaggregation of Income Statement Expenses</w:t>
      </w:r>
      <w:r>
        <w:rPr>
          <w:rFonts w:ascii="sans-serif" w:hAnsi="sans-serif"/>
          <w:color w:val="000000"/>
          <w:sz w:val="20"/>
        </w:rPr>
        <w:t>, which requires public business entities to provide more detailed information in the notes to the financial statements about specified categories of expenses (purchases of inventory, employee compensation, depreciation and amortization) included in certain expense captions presented on the consolidated statement of operations and comprehensive loss. The guidance is effective for annual periods beginning after December 15, 2026, and for interim periods within fiscal years beginning after December 15, 2027. Early adoption is permitted. The amendments may be applied either (1) prospectively to financial statements issued for periods after the effective date of this ASU or (2) retrospectively to all prior periods presented in the consolidated financial statements. The Company is currently evaluating the impact that this guidance will have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 xml:space="preserve">In September 2025, the FASB issued ASU 2025-07, </w:t>
      </w:r>
      <w:r>
        <w:rPr>
          <w:rFonts w:ascii="sans-serif" w:hAnsi="sans-serif"/>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 w:hAnsi="Times New Roman"/>
          <w:color w:val="000000"/>
          <w:sz w:val="20"/>
        </w:rPr>
        <w:t xml:space="preserve"> </w:t>
      </w:r>
      <w:r>
        <w:rPr>
          <w:rFonts w:ascii="sans-serif" w:hAnsi="sans-serif"/>
          <w:color w:val="000000"/>
          <w:sz w:val="20"/>
        </w:rPr>
        <w:t>ASU 2025-07 (i) expands a scope exception in Topic 815 to exclude from derivative accounting certain non-exchange-traded contracts whose underlyings are based on operations or activities specific to one of the parties to the contract, while excluding variables based on market rates/prices/indices, the price or performance of a party’s financial assets or liabilities, contracts in an issuer’s own equity subject to Subtopic 815-40, and call/put options on debt; and (ii) clarifies that Topic 606 applies to share-based noncash consideration from a customer for the transfer of goods or services until the entity’s right to receive or retain that consideration is unconditional under Topic 606, after which other Topics (e.g., 815 or 321) apply. The amendments are effective for annual periods beginning after December 15, 2026, including interim periods within those annual reporting periods. Early adoption is permitted. For the derivative scope refinements (Topic 815), entities may adopt prospectively to new contracts entered into on/after the adoption date or on a modified retrospective basis with a cumulative-effect adjustment. For the scope clarification for share-based noncash consideration from a customer in a revenue contract (Topic 606), entities may adopt prospectively or on a modified retrospective basis with a cumulative-effect adjustment. The Company is currently evaluating the impact that this guidance will have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 xml:space="preserve">In December 2025, the FASB issued ASU 2025-11, </w:t>
      </w:r>
      <w:r>
        <w:rPr>
          <w:rFonts w:ascii="sans-serif" w:hAnsi="sans-serif"/>
          <w:i/>
          <w:color w:val="000000"/>
          <w:sz w:val="20"/>
        </w:rPr>
        <w:t>Interim Reporting (Topic 270): Narrow-Scope Improvements</w:t>
      </w:r>
      <w:r>
        <w:rPr>
          <w:rFonts w:ascii="sans-serif" w:hAnsi="sans-serif"/>
          <w:color w:val="000000"/>
          <w:sz w:val="20"/>
        </w:rPr>
        <w:t>, which clarifies the scope and application of interim reporting guidance and introduces a principle requiring entities to disclose material events and changes that occur since the most recent annual reporting period. ASU 2025-11 also consolidates existing interim disclosure requirements into a single location within the ASC to improve accessibility and consistency. The amendments in this update are effective for fiscal years beginning after December 15, 2027, and interim periods within those fiscal years, with early adoption permitted. The Company is currently evaluating the impact that this guidance will have on its consolidated financial statements and disclosures.</w:t>
      </w:r>
    </w:p>
    <w:p>
      <w:pPr>
        <w:pStyle w:val="TextBody"/>
        <w:bidi w:val="0"/>
        <w:spacing w:before="200" w:after="283"/>
        <w:jc w:val="both"/>
        <w:rPr>
          <w:rFonts w:ascii="sans-serif" w:hAnsi="sans-serif"/>
          <w:b/>
          <w:color w:val="000000"/>
          <w:sz w:val="20"/>
        </w:rPr>
      </w:pPr>
      <w:r>
        <w:rPr>
          <w:rFonts w:ascii="sans-serif" w:hAnsi="sans-serif"/>
          <w:b/>
          <w:color w:val="000000"/>
          <w:sz w:val="20"/>
        </w:rPr>
        <w:t>3. Fair Value Measurements</w:t>
      </w:r>
    </w:p>
    <w:p>
      <w:pPr>
        <w:pStyle w:val="TextBody"/>
        <w:bidi w:val="0"/>
        <w:spacing w:before="120" w:after="283"/>
        <w:jc w:val="left"/>
        <w:rPr>
          <w:rFonts w:ascii="sans-serif" w:hAnsi="sans-serif"/>
          <w:color w:val="000000"/>
          <w:sz w:val="20"/>
        </w:rPr>
      </w:pPr>
      <w:r>
        <w:rPr>
          <w:rFonts w:ascii="sans-serif" w:hAnsi="sans-serif"/>
          <w:color w:val="000000"/>
          <w:sz w:val="20"/>
        </w:rPr>
        <w:t>The following tables set forth the fair value of the Company’s financial assets measured at fair value on a recurring basis and indicates the level within the fair value hierarchy utilized to determine such values (in thousands):</w:t>
      </w:r>
    </w:p>
    <w:p>
      <w:pPr>
        <w:pStyle w:val="TextBody"/>
        <w:bidi w:val="0"/>
        <w:jc w:val="both"/>
        <w:rPr/>
      </w:pPr>
      <w:r>
        <w:rPr/>
        <w:t> </w:t>
      </w:r>
    </w:p>
    <w:tbl>
      <w:tblPr>
        <w:tblW w:w="9573" w:type="dxa"/>
        <w:jc w:val="left"/>
        <w:tblInd w:w="0" w:type="dxa"/>
        <w:tblLayout w:type="fixed"/>
        <w:tblCellMar>
          <w:top w:w="28" w:type="dxa"/>
          <w:left w:w="28" w:type="dxa"/>
          <w:bottom w:w="28" w:type="dxa"/>
          <w:right w:w="28" w:type="dxa"/>
        </w:tblCellMar>
      </w:tblPr>
      <w:tblGrid>
        <w:gridCol w:w="4606"/>
        <w:gridCol w:w="146"/>
        <w:gridCol w:w="226"/>
        <w:gridCol w:w="886"/>
        <w:gridCol w:w="146"/>
        <w:gridCol w:w="146"/>
        <w:gridCol w:w="226"/>
        <w:gridCol w:w="886"/>
        <w:gridCol w:w="146"/>
        <w:gridCol w:w="146"/>
        <w:gridCol w:w="301"/>
        <w:gridCol w:w="464"/>
        <w:gridCol w:w="146"/>
        <w:gridCol w:w="146"/>
        <w:gridCol w:w="301"/>
        <w:gridCol w:w="464"/>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U.S. Treasury-backed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759,650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759,650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894,406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894,406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U.S. Treasury-backed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461,871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461,871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CVR asset and liability</w:t>
      </w:r>
    </w:p>
    <w:p>
      <w:pPr>
        <w:pStyle w:val="TextBody"/>
        <w:bidi w:val="0"/>
        <w:spacing w:before="120" w:after="283"/>
        <w:jc w:val="left"/>
        <w:rPr>
          <w:rFonts w:ascii="Times New Roman" w:hAnsi="Times New Roman"/>
          <w:sz w:val="20"/>
        </w:rPr>
      </w:pPr>
      <w:r>
        <w:rPr>
          <w:rFonts w:ascii="sans-serif" w:hAnsi="sans-serif"/>
          <w:color w:val="000000"/>
          <w:sz w:val="20"/>
        </w:rPr>
        <w:t>During the fourth quarter of 2023, based on information received from the third-party developing the assets indicating that the first milestone under the asset purchase agreement was likely to be achieved, the Company recorded a $10.0</w:t>
      </w:r>
      <w:r>
        <w:rPr>
          <w:rFonts w:ascii="Times New Roman" w:hAnsi="Times New Roman"/>
          <w:color w:val="000000"/>
          <w:sz w:val="20"/>
        </w:rPr>
        <w:t xml:space="preserve"> </w:t>
      </w:r>
      <w:r>
        <w:rPr>
          <w:rFonts w:ascii="sans-serif" w:hAnsi="sans-serif"/>
          <w:color w:val="000000"/>
          <w:sz w:val="20"/>
        </w:rPr>
        <w:t>million CVR asset and corresponding CVR liability as of December 31, 2023. In March 2024, the Company received formal notification from the third-party that the first milestone had been achieved, and the Company received the $10.0</w:t>
      </w:r>
      <w:r>
        <w:rPr>
          <w:rFonts w:ascii="Times New Roman" w:hAnsi="Times New Roman"/>
          <w:color w:val="000000"/>
          <w:sz w:val="20"/>
        </w:rPr>
        <w:t xml:space="preserve"> </w:t>
      </w:r>
      <w:r>
        <w:rPr>
          <w:rFonts w:ascii="sans-serif" w:hAnsi="sans-serif"/>
          <w:color w:val="000000"/>
          <w:sz w:val="20"/>
        </w:rPr>
        <w:t>million milestone payment in April 2024. In August 2024, the Company remitted $9.1</w:t>
      </w:r>
      <w:r>
        <w:rPr>
          <w:rFonts w:ascii="Times New Roman" w:hAnsi="Times New Roman"/>
          <w:color w:val="000000"/>
          <w:sz w:val="20"/>
        </w:rPr>
        <w:t xml:space="preserve"> </w:t>
      </w:r>
      <w:r>
        <w:rPr>
          <w:rFonts w:ascii="sans-serif" w:hAnsi="sans-serif"/>
          <w:color w:val="000000"/>
          <w:sz w:val="20"/>
        </w:rPr>
        <w:t>million, net of permitted deductions of $0.9</w:t>
      </w:r>
      <w:r>
        <w:rPr>
          <w:rFonts w:ascii="Times New Roman" w:hAnsi="Times New Roman"/>
          <w:color w:val="000000"/>
          <w:sz w:val="20"/>
        </w:rPr>
        <w:t xml:space="preserve"> </w:t>
      </w:r>
      <w:r>
        <w:rPr>
          <w:rFonts w:ascii="sans-serif" w:hAnsi="sans-serif"/>
          <w:color w:val="000000"/>
          <w:sz w:val="20"/>
        </w:rPr>
        <w:t>million, to the rights agent for distribution to the CVR holders. The Company continues to reassess the fair value of the second milestone as the assets are developed. As the second milestone event under this asset purchase agreement relates to the potential future commercialization of the assets, no</w:t>
      </w:r>
      <w:r>
        <w:rPr>
          <w:rFonts w:ascii="Times New Roman" w:hAnsi="Times New Roman"/>
          <w:color w:val="000000"/>
          <w:sz w:val="20"/>
        </w:rPr>
        <w:t xml:space="preserve"> </w:t>
      </w:r>
      <w:r>
        <w:rPr>
          <w:rFonts w:ascii="sans-serif" w:hAnsi="sans-serif"/>
          <w:color w:val="000000"/>
          <w:sz w:val="20"/>
        </w:rPr>
        <w:t>value was attributed to this milestone, as its achievement was deemed improbable as of June 30, 2026 and December 31, 2025.</w:t>
      </w:r>
    </w:p>
    <w:p>
      <w:pPr>
        <w:pStyle w:val="TextBody"/>
        <w:bidi w:val="0"/>
        <w:spacing w:before="200" w:after="283"/>
        <w:jc w:val="left"/>
        <w:rPr>
          <w:rFonts w:ascii="sans-serif" w:hAnsi="sans-serif"/>
          <w:b/>
          <w:color w:val="000000"/>
          <w:sz w:val="20"/>
        </w:rPr>
      </w:pPr>
      <w:r>
        <w:rPr>
          <w:rFonts w:ascii="sans-serif" w:hAnsi="sans-serif"/>
          <w:b/>
          <w:color w:val="000000"/>
          <w:sz w:val="20"/>
        </w:rPr>
        <w:t>4. Marketable Securities</w:t>
      </w:r>
    </w:p>
    <w:p>
      <w:pPr>
        <w:pStyle w:val="TextBody"/>
        <w:bidi w:val="0"/>
        <w:spacing w:before="120" w:after="283"/>
        <w:jc w:val="left"/>
        <w:rPr>
          <w:rFonts w:ascii="sans-serif" w:hAnsi="sans-serif"/>
          <w:color w:val="000000"/>
          <w:sz w:val="20"/>
        </w:rPr>
      </w:pPr>
      <w:r>
        <w:rPr>
          <w:rFonts w:ascii="sans-serif" w:hAnsi="sans-serif"/>
          <w:color w:val="000000"/>
          <w:sz w:val="20"/>
        </w:rPr>
        <w:t>The Company’s marketable securities are classified as available-for-sale and are stated at fair value. Marketable securities consisted of the following (in thousands):</w:t>
      </w:r>
    </w:p>
    <w:p>
      <w:pPr>
        <w:pStyle w:val="TextBody"/>
        <w:bidi w:val="0"/>
        <w:jc w:val="left"/>
        <w:rPr/>
      </w:pPr>
      <w:r>
        <w:rPr/>
        <w:t> </w:t>
      </w:r>
    </w:p>
    <w:tbl>
      <w:tblPr>
        <w:tblW w:w="9262" w:type="dxa"/>
        <w:jc w:val="left"/>
        <w:tblInd w:w="0" w:type="dxa"/>
        <w:tblLayout w:type="fixed"/>
        <w:tblCellMar>
          <w:top w:w="28" w:type="dxa"/>
          <w:left w:w="28" w:type="dxa"/>
          <w:bottom w:w="28" w:type="dxa"/>
          <w:right w:w="28" w:type="dxa"/>
        </w:tblCellMar>
      </w:tblPr>
      <w:tblGrid>
        <w:gridCol w:w="2491"/>
        <w:gridCol w:w="146"/>
        <w:gridCol w:w="991"/>
        <w:gridCol w:w="146"/>
        <w:gridCol w:w="226"/>
        <w:gridCol w:w="886"/>
        <w:gridCol w:w="146"/>
        <w:gridCol w:w="146"/>
        <w:gridCol w:w="353"/>
        <w:gridCol w:w="728"/>
        <w:gridCol w:w="146"/>
        <w:gridCol w:w="146"/>
        <w:gridCol w:w="257"/>
        <w:gridCol w:w="824"/>
        <w:gridCol w:w="181"/>
        <w:gridCol w:w="146"/>
        <w:gridCol w:w="226"/>
        <w:gridCol w:w="88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Unrealized</w:t>
              <w:br/>
              <w:t>Losses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457,447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456,597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304,108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303,053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761,555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759,650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Unrealized</w:t>
              <w:br/>
              <w:t>Losses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363,725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5. Leases</w:t>
      </w:r>
    </w:p>
    <w:p>
      <w:pPr>
        <w:pStyle w:val="TextBody"/>
        <w:bidi w:val="0"/>
        <w:spacing w:before="120" w:after="283"/>
        <w:jc w:val="left"/>
        <w:rPr>
          <w:rFonts w:ascii="sans-serif" w:hAnsi="sans-serif"/>
          <w:b/>
          <w:i/>
          <w:color w:val="000000"/>
          <w:sz w:val="20"/>
        </w:rPr>
      </w:pPr>
      <w:r>
        <w:rPr>
          <w:rFonts w:ascii="sans-serif" w:hAnsi="sans-serif"/>
          <w:b/>
          <w:i/>
          <w:color w:val="000000"/>
          <w:sz w:val="20"/>
        </w:rPr>
        <w:t>Operating leases</w:t>
      </w:r>
    </w:p>
    <w:p>
      <w:pPr>
        <w:pStyle w:val="TextBody"/>
        <w:bidi w:val="0"/>
        <w:spacing w:before="120" w:after="283"/>
        <w:jc w:val="left"/>
        <w:rPr>
          <w:rFonts w:ascii="Times New Roman" w:hAnsi="Times New Roman"/>
          <w:sz w:val="20"/>
        </w:rPr>
      </w:pPr>
      <w:r>
        <w:rPr>
          <w:rFonts w:ascii="sans-serif" w:hAnsi="sans-serif"/>
          <w:color w:val="000000"/>
          <w:sz w:val="20"/>
        </w:rPr>
        <w:t>In September 2024, the Company entered into a non-cancellable operating lease (the "Boulder Lease") with Crestview, LLC in Boulder, Colorado. Under the terms of the Boulder Lease, the Company will lease approximately 20,011</w:t>
      </w:r>
      <w:r>
        <w:rPr>
          <w:rFonts w:ascii="Times New Roman" w:hAnsi="Times New Roman"/>
          <w:color w:val="000000"/>
          <w:sz w:val="20"/>
        </w:rPr>
        <w:t xml:space="preserve"> </w:t>
      </w:r>
      <w:r>
        <w:rPr>
          <w:rFonts w:ascii="sans-serif" w:hAnsi="sans-serif"/>
          <w:color w:val="000000"/>
          <w:sz w:val="20"/>
        </w:rPr>
        <w:t>rentable square feet of office and laboratory space from January 1, 2025</w:t>
      </w:r>
      <w:r>
        <w:rPr>
          <w:rFonts w:ascii="Times New Roman" w:hAnsi="Times New Roman"/>
          <w:color w:val="000000"/>
          <w:sz w:val="20"/>
        </w:rPr>
        <w:t xml:space="preserve"> </w:t>
      </w:r>
      <w:r>
        <w:rPr>
          <w:rFonts w:ascii="sans-serif" w:hAnsi="sans-serif"/>
          <w:color w:val="000000"/>
          <w:sz w:val="20"/>
        </w:rPr>
        <w:t>through December 31, 2026, with a renewal option</w:t>
      </w:r>
      <w:r>
        <w:rPr>
          <w:rFonts w:ascii="Times New Roman" w:hAnsi="Times New Roman"/>
          <w:color w:val="000000"/>
          <w:sz w:val="20"/>
        </w:rPr>
        <w:t xml:space="preserve"> </w:t>
      </w:r>
      <w:r>
        <w:rPr>
          <w:rFonts w:ascii="sans-serif" w:hAnsi="sans-serif"/>
          <w:color w:val="000000"/>
          <w:sz w:val="20"/>
        </w:rPr>
        <w:t>for an additional term of five years. The monthly base rent at commencement was $33,000, with a 50% rent abatement for the first month’s rent, and the monthly base rent will increase by 3.5% annually. The Company recorded an ROU asset</w:t>
      </w:r>
      <w:r>
        <w:rPr>
          <w:rFonts w:ascii="Times New Roman" w:hAnsi="Times New Roman"/>
          <w:color w:val="000000"/>
          <w:sz w:val="20"/>
        </w:rPr>
        <w:t xml:space="preserve"> </w:t>
      </w:r>
      <w:r>
        <w:rPr>
          <w:rFonts w:ascii="sans-serif" w:hAnsi="sans-serif"/>
          <w:color w:val="000000"/>
          <w:sz w:val="20"/>
        </w:rPr>
        <w:t>and lease liability</w:t>
      </w:r>
      <w:r>
        <w:rPr>
          <w:rFonts w:ascii="Times New Roman" w:hAnsi="Times New Roman"/>
          <w:color w:val="000000"/>
          <w:sz w:val="20"/>
        </w:rPr>
        <w:t xml:space="preserve"> </w:t>
      </w:r>
      <w:r>
        <w:rPr>
          <w:rFonts w:ascii="sans-serif" w:hAnsi="sans-serif"/>
          <w:color w:val="000000"/>
          <w:sz w:val="20"/>
        </w:rPr>
        <w:t>of $0.7</w:t>
      </w:r>
      <w:r>
        <w:rPr>
          <w:rFonts w:ascii="Times New Roman" w:hAnsi="Times New Roman"/>
          <w:color w:val="000000"/>
          <w:sz w:val="20"/>
        </w:rPr>
        <w:t xml:space="preserve"> </w:t>
      </w:r>
      <w:r>
        <w:rPr>
          <w:rFonts w:ascii="sans-serif" w:hAnsi="sans-serif"/>
          <w:color w:val="000000"/>
          <w:sz w:val="20"/>
        </w:rPr>
        <w:t>million related to the Boulder Lease upon commencement in January 2025. The Company is required to pay base rent expense as well as its proportionate share of the facilities operating expenses. The non-lease components, consisting primarily of facilities operating expenses, are paid separately based on actual costs incurred. Therefore, the variable non-lease components were not included in the ROU assets and lease liabilities and are reflected as expense in the period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April 2026, the Company entered into a non-cancellable operating lease (the “Bay Area Lease”) with JSR Karp 7, LP for its new headquarters in Burlingame, California. The Bay Area Lease provides for approximately 7,200</w:t>
      </w:r>
      <w:r>
        <w:rPr>
          <w:rFonts w:ascii="Times New Roman" w:hAnsi="Times New Roman"/>
          <w:color w:val="000000"/>
          <w:sz w:val="20"/>
        </w:rPr>
        <w:t xml:space="preserve"> </w:t>
      </w:r>
      <w:r>
        <w:rPr>
          <w:rFonts w:ascii="sans-serif" w:hAnsi="sans-serif"/>
          <w:color w:val="000000"/>
          <w:sz w:val="20"/>
        </w:rPr>
        <w:t>square feet of office space with a lease term from June 1, 2026</w:t>
      </w:r>
      <w:r>
        <w:rPr>
          <w:rFonts w:ascii="Times New Roman" w:hAnsi="Times New Roman"/>
          <w:color w:val="000000"/>
          <w:sz w:val="20"/>
        </w:rPr>
        <w:t xml:space="preserve"> </w:t>
      </w:r>
      <w:r>
        <w:rPr>
          <w:rFonts w:ascii="sans-serif" w:hAnsi="sans-serif"/>
          <w:color w:val="000000"/>
          <w:sz w:val="20"/>
        </w:rPr>
        <w:t>through May 31, 2029. Monthly base rent commenced at approximately $41,000</w:t>
      </w:r>
      <w:r>
        <w:rPr>
          <w:rFonts w:ascii="Times New Roman" w:hAnsi="Times New Roman"/>
          <w:color w:val="000000"/>
          <w:sz w:val="20"/>
        </w:rPr>
        <w:t xml:space="preserve"> </w:t>
      </w:r>
      <w:r>
        <w:rPr>
          <w:rFonts w:ascii="sans-serif" w:hAnsi="sans-serif"/>
          <w:color w:val="000000"/>
          <w:sz w:val="20"/>
        </w:rPr>
        <w:t>and will increase by 3.0% annually thereafter. The Company recorded an ROU asset</w:t>
      </w:r>
      <w:r>
        <w:rPr>
          <w:rFonts w:ascii="Times New Roman" w:hAnsi="Times New Roman"/>
          <w:color w:val="000000"/>
          <w:sz w:val="20"/>
        </w:rPr>
        <w:t xml:space="preserve"> </w:t>
      </w:r>
      <w:r>
        <w:rPr>
          <w:rFonts w:ascii="sans-serif" w:hAnsi="sans-serif"/>
          <w:color w:val="000000"/>
          <w:sz w:val="20"/>
        </w:rPr>
        <w:t>and lease liability</w:t>
      </w:r>
      <w:r>
        <w:rPr>
          <w:rFonts w:ascii="Times New Roman" w:hAnsi="Times New Roman"/>
          <w:color w:val="000000"/>
          <w:sz w:val="20"/>
        </w:rPr>
        <w:t xml:space="preserve"> </w:t>
      </w:r>
      <w:r>
        <w:rPr>
          <w:rFonts w:ascii="sans-serif" w:hAnsi="sans-serif"/>
          <w:color w:val="000000"/>
          <w:sz w:val="20"/>
        </w:rPr>
        <w:t>of $1.3</w:t>
      </w:r>
      <w:r>
        <w:rPr>
          <w:rFonts w:ascii="Times New Roman" w:hAnsi="Times New Roman"/>
          <w:color w:val="000000"/>
          <w:sz w:val="20"/>
        </w:rPr>
        <w:t xml:space="preserve"> </w:t>
      </w:r>
      <w:r>
        <w:rPr>
          <w:rFonts w:ascii="sans-serif" w:hAnsi="sans-serif"/>
          <w:color w:val="000000"/>
          <w:sz w:val="20"/>
        </w:rPr>
        <w:t>million related to the Bay Area Lease upon commencement in June 2026. The Company is required to pay base rent expense as well as its proportionate share of the facilities operating expenses. The non-lease components, consisting primarily of facilities operating expenses, are paid separately based on actual costs incurred. Therefore, the variable non-lease components were not included in the ROU assets and lease liabilities and are reflected as expense in the period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of June 30, 2026, the Company had two operating leases, the Boulder Lease and the Bay Area Lease, with a weighted-average remaining lease term of 2.6</w:t>
      </w:r>
      <w:r>
        <w:rPr>
          <w:rFonts w:ascii="Times New Roman" w:hAnsi="Times New Roman"/>
          <w:color w:val="000000"/>
          <w:sz w:val="20"/>
        </w:rPr>
        <w:t xml:space="preserve"> </w:t>
      </w:r>
      <w:r>
        <w:rPr>
          <w:rFonts w:ascii="sans-serif" w:hAnsi="sans-serif"/>
          <w:color w:val="000000"/>
          <w:sz w:val="20"/>
        </w:rPr>
        <w:t>years. The weighted-average discount rate used to calculate the ROU assets and lease liabilities was 9.4%, which was based on the Company's estimated borrowing rates on collateralized loans. As of June 30, 2026, total ROU assets and lease liabilities were $1.5</w:t>
      </w:r>
      <w:r>
        <w:rPr>
          <w:rFonts w:ascii="Times New Roman" w:hAnsi="Times New Roman"/>
          <w:color w:val="000000"/>
          <w:sz w:val="20"/>
        </w:rPr>
        <w:t xml:space="preserve"> </w:t>
      </w:r>
      <w:r>
        <w:rPr>
          <w:rFonts w:ascii="sans-serif" w:hAnsi="sans-serif"/>
          <w:color w:val="000000"/>
          <w:sz w:val="20"/>
        </w:rPr>
        <w:t>million and $1.5</w:t>
      </w:r>
      <w:r>
        <w:rPr>
          <w:rFonts w:ascii="Times New Roman" w:hAnsi="Times New Roman"/>
          <w:color w:val="000000"/>
          <w:sz w:val="20"/>
        </w:rPr>
        <w:t xml:space="preserve"> </w:t>
      </w:r>
      <w:r>
        <w:rPr>
          <w:rFonts w:ascii="sans-serif" w:hAnsi="sans-serif"/>
          <w:color w:val="000000"/>
          <w:sz w:val="20"/>
        </w:rPr>
        <w:t>million, respectively. As of December 31, 2025, total ROU assets and lease liabilities were $0.4</w:t>
      </w:r>
      <w:r>
        <w:rPr>
          <w:rFonts w:ascii="Times New Roman" w:hAnsi="Times New Roman"/>
          <w:color w:val="000000"/>
          <w:sz w:val="20"/>
        </w:rPr>
        <w:t xml:space="preserve"> </w:t>
      </w:r>
      <w:r>
        <w:rPr>
          <w:rFonts w:ascii="sans-serif" w:hAnsi="sans-serif"/>
          <w:color w:val="000000"/>
          <w:sz w:val="20"/>
        </w:rPr>
        <w:t>million and $0.4</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As of June 30, 2026, the future minimum lease payments under the Company's operating leases were as follows (in thousands):</w:t>
      </w:r>
    </w:p>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3916"/>
        <w:gridCol w:w="146"/>
        <w:gridCol w:w="365"/>
        <w:gridCol w:w="1045"/>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2026 (remaining six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amount representing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Cash paid for amounts included in the measurement of operating lease liabilities was $145,000</w:t>
      </w:r>
      <w:r>
        <w:rPr>
          <w:rFonts w:ascii="Times New Roman" w:hAnsi="Times New Roman"/>
          <w:color w:val="000000"/>
          <w:sz w:val="20"/>
        </w:rPr>
        <w:t xml:space="preserve"> </w:t>
      </w:r>
      <w:r>
        <w:rPr>
          <w:rFonts w:ascii="sans-serif" w:hAnsi="sans-serif"/>
          <w:color w:val="000000"/>
          <w:sz w:val="20"/>
        </w:rPr>
        <w:t>and $100,000</w:t>
      </w:r>
      <w:r>
        <w:rPr>
          <w:rFonts w:ascii="Times New Roman" w:hAnsi="Times New Roman"/>
          <w:color w:val="000000"/>
          <w:sz w:val="20"/>
        </w:rPr>
        <w:t xml:space="preserve"> </w:t>
      </w:r>
      <w:r>
        <w:rPr>
          <w:rFonts w:ascii="sans-serif" w:hAnsi="sans-serif"/>
          <w:color w:val="000000"/>
          <w:sz w:val="20"/>
        </w:rPr>
        <w:t>for the three months ended June 30, 2026 and 2025, respectively, and $249,000</w:t>
      </w:r>
      <w:r>
        <w:rPr>
          <w:rFonts w:ascii="Times New Roman" w:hAnsi="Times New Roman"/>
          <w:color w:val="000000"/>
          <w:sz w:val="20"/>
        </w:rPr>
        <w:t xml:space="preserve"> </w:t>
      </w:r>
      <w:r>
        <w:rPr>
          <w:rFonts w:ascii="sans-serif" w:hAnsi="sans-serif"/>
          <w:color w:val="000000"/>
          <w:sz w:val="20"/>
        </w:rPr>
        <w:t>and $183,000</w:t>
      </w:r>
      <w:r>
        <w:rPr>
          <w:rFonts w:ascii="Times New Roman" w:hAnsi="Times New Roman"/>
          <w:color w:val="000000"/>
          <w:sz w:val="20"/>
        </w:rPr>
        <w:t xml:space="preserve"> </w:t>
      </w:r>
      <w:r>
        <w:rPr>
          <w:rFonts w:ascii="sans-serif" w:hAnsi="sans-serif"/>
          <w:color w:val="000000"/>
          <w:sz w:val="20"/>
        </w:rPr>
        <w:t>for the six months ended June 30, 2026 and 2025, respectively. The Company recognized rent expense of $142,000</w:t>
      </w:r>
      <w:r>
        <w:rPr>
          <w:rFonts w:ascii="Times New Roman" w:hAnsi="Times New Roman"/>
          <w:color w:val="000000"/>
          <w:sz w:val="20"/>
        </w:rPr>
        <w:t xml:space="preserve"> </w:t>
      </w:r>
      <w:r>
        <w:rPr>
          <w:rFonts w:ascii="sans-serif" w:hAnsi="sans-serif"/>
          <w:color w:val="000000"/>
          <w:sz w:val="20"/>
        </w:rPr>
        <w:t>and $99,000</w:t>
      </w:r>
      <w:r>
        <w:rPr>
          <w:rFonts w:ascii="Times New Roman" w:hAnsi="Times New Roman"/>
          <w:color w:val="000000"/>
          <w:sz w:val="20"/>
        </w:rPr>
        <w:t xml:space="preserve"> </w:t>
      </w:r>
      <w:r>
        <w:rPr>
          <w:rFonts w:ascii="sans-serif" w:hAnsi="sans-serif"/>
          <w:color w:val="000000"/>
          <w:sz w:val="20"/>
        </w:rPr>
        <w:t>for the three months ended June 30, 2026 and 2025, respectively, and $242,000</w:t>
      </w:r>
      <w:r>
        <w:rPr>
          <w:rFonts w:ascii="Times New Roman" w:hAnsi="Times New Roman"/>
          <w:color w:val="000000"/>
          <w:sz w:val="20"/>
        </w:rPr>
        <w:t xml:space="preserve"> </w:t>
      </w:r>
      <w:r>
        <w:rPr>
          <w:rFonts w:ascii="sans-serif" w:hAnsi="sans-serif"/>
          <w:color w:val="000000"/>
          <w:sz w:val="20"/>
        </w:rPr>
        <w:t>and $199,000</w:t>
      </w:r>
      <w:r>
        <w:rPr>
          <w:rFonts w:ascii="Times New Roman" w:hAnsi="Times New Roman"/>
          <w:color w:val="000000"/>
          <w:sz w:val="20"/>
        </w:rPr>
        <w:t xml:space="preserve"> </w:t>
      </w:r>
      <w:r>
        <w:rPr>
          <w:rFonts w:ascii="sans-serif" w:hAnsi="sans-serif"/>
          <w:color w:val="000000"/>
          <w:sz w:val="20"/>
        </w:rPr>
        <w:t>for the six months ended June 30, 2026 and 2025, respectively.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No</w:t>
      </w:r>
      <w:r>
        <w:rPr>
          <w:rFonts w:ascii="Times New Roman" w:hAnsi="Times New Roman"/>
          <w:color w:val="000000"/>
          <w:sz w:val="20"/>
        </w:rPr>
        <w:t xml:space="preserve"> </w:t>
      </w:r>
      <w:r>
        <w:rPr>
          <w:rFonts w:ascii="sans-serif" w:hAnsi="sans-serif"/>
          <w:color w:val="000000"/>
          <w:sz w:val="20"/>
        </w:rPr>
        <w:t>impairment losses were recognized during the three and six months ended June 30, 2026 and 2025.</w:t>
      </w:r>
    </w:p>
    <w:p>
      <w:pPr>
        <w:pStyle w:val="TextBody"/>
        <w:bidi w:val="0"/>
        <w:spacing w:before="200" w:after="283"/>
        <w:jc w:val="left"/>
        <w:rPr>
          <w:rFonts w:ascii="sans-serif" w:hAnsi="sans-serif"/>
          <w:b/>
          <w:color w:val="000000"/>
          <w:sz w:val="20"/>
        </w:rPr>
      </w:pPr>
      <w:r>
        <w:rPr>
          <w:rFonts w:ascii="sans-serif" w:hAnsi="sans-serif"/>
          <w:b/>
          <w:color w:val="000000"/>
          <w:sz w:val="20"/>
        </w:rPr>
        <w:t>6. Property and Equipment, Net</w:t>
      </w:r>
    </w:p>
    <w:p>
      <w:pPr>
        <w:pStyle w:val="TextBody"/>
        <w:bidi w:val="0"/>
        <w:spacing w:before="120" w:after="283"/>
        <w:jc w:val="left"/>
        <w:rPr>
          <w:rFonts w:ascii="sans-serif" w:hAnsi="sans-serif"/>
          <w:color w:val="000000"/>
          <w:sz w:val="20"/>
        </w:rPr>
      </w:pPr>
      <w:r>
        <w:rPr>
          <w:rFonts w:ascii="sans-serif" w:hAnsi="sans-serif"/>
          <w:color w:val="000000"/>
          <w:sz w:val="20"/>
        </w:rPr>
        <w:t>Property and equipment, net consisted of the following (dollar amounts in thousands):</w:t>
      </w:r>
    </w:p>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3211"/>
        <w:gridCol w:w="146"/>
        <w:gridCol w:w="415"/>
        <w:gridCol w:w="995"/>
        <w:gridCol w:w="181"/>
        <w:gridCol w:w="146"/>
        <w:gridCol w:w="564"/>
        <w:gridCol w:w="1356"/>
        <w:gridCol w:w="22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 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Depreciation expense was $7,000</w:t>
      </w:r>
      <w:r>
        <w:rPr>
          <w:rFonts w:ascii="Times New Roman" w:hAnsi="Times New Roman"/>
          <w:color w:val="000000"/>
          <w:sz w:val="20"/>
        </w:rPr>
        <w:t xml:space="preserve"> </w:t>
      </w:r>
      <w:r>
        <w:rPr>
          <w:rFonts w:ascii="sans-serif" w:hAnsi="sans-serif"/>
          <w:color w:val="000000"/>
          <w:sz w:val="20"/>
        </w:rPr>
        <w:t>and $81,000</w:t>
      </w:r>
      <w:r>
        <w:rPr>
          <w:rFonts w:ascii="Times New Roman" w:hAnsi="Times New Roman"/>
          <w:color w:val="000000"/>
          <w:sz w:val="20"/>
        </w:rPr>
        <w:t xml:space="preserve"> </w:t>
      </w:r>
      <w:r>
        <w:rPr>
          <w:rFonts w:ascii="sans-serif" w:hAnsi="sans-serif"/>
          <w:color w:val="000000"/>
          <w:sz w:val="20"/>
        </w:rPr>
        <w:t>for the three months ended June 30, 2026 and 2025, respectively, and $21,000</w:t>
      </w:r>
      <w:r>
        <w:rPr>
          <w:rFonts w:ascii="Times New Roman" w:hAnsi="Times New Roman"/>
          <w:color w:val="000000"/>
          <w:sz w:val="20"/>
        </w:rPr>
        <w:t xml:space="preserve"> </w:t>
      </w:r>
      <w:r>
        <w:rPr>
          <w:rFonts w:ascii="sans-serif" w:hAnsi="sans-serif"/>
          <w:color w:val="000000"/>
          <w:sz w:val="20"/>
        </w:rPr>
        <w:t>and $155,000</w:t>
      </w:r>
      <w:r>
        <w:rPr>
          <w:rFonts w:ascii="Times New Roman" w:hAnsi="Times New Roman"/>
          <w:color w:val="000000"/>
          <w:sz w:val="20"/>
        </w:rPr>
        <w:t xml:space="preserve"> </w:t>
      </w:r>
      <w:r>
        <w:rPr>
          <w:rFonts w:ascii="sans-serif" w:hAnsi="sans-serif"/>
          <w:color w:val="000000"/>
          <w:sz w:val="20"/>
        </w:rPr>
        <w:t>for the six months ended June 30, 2026 and 2025,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7. Accrued Expenses and Other Current Liabilities</w:t>
      </w:r>
    </w:p>
    <w:p>
      <w:pPr>
        <w:pStyle w:val="TextBody"/>
        <w:bidi w:val="0"/>
        <w:spacing w:before="120" w:after="283"/>
        <w:jc w:val="left"/>
        <w:rPr>
          <w:rFonts w:ascii="sans-serif" w:hAnsi="sans-serif"/>
          <w:color w:val="000000"/>
          <w:sz w:val="20"/>
        </w:rPr>
      </w:pPr>
      <w:r>
        <w:rPr>
          <w:rFonts w:ascii="sans-serif" w:hAnsi="sans-serif"/>
          <w:color w:val="000000"/>
          <w:sz w:val="20"/>
        </w:rPr>
        <w:t>Accrued expenses and other current liabilities consisted of the following (in thousands):</w:t>
      </w:r>
    </w:p>
    <w:p>
      <w:pPr>
        <w:pStyle w:val="TextBody"/>
        <w:bidi w:val="0"/>
        <w:jc w:val="left"/>
        <w:rPr/>
      </w:pPr>
      <w:r>
        <w:rPr/>
        <w:t> </w:t>
      </w:r>
    </w:p>
    <w:tbl>
      <w:tblPr>
        <w:tblW w:w="8550" w:type="dxa"/>
        <w:jc w:val="left"/>
        <w:tblInd w:w="0" w:type="dxa"/>
        <w:tblLayout w:type="fixed"/>
        <w:tblCellMar>
          <w:top w:w="28" w:type="dxa"/>
          <w:left w:w="28" w:type="dxa"/>
          <w:bottom w:w="28" w:type="dxa"/>
          <w:right w:w="28" w:type="dxa"/>
        </w:tblCellMar>
      </w:tblPr>
      <w:tblGrid>
        <w:gridCol w:w="4591"/>
        <w:gridCol w:w="146"/>
        <w:gridCol w:w="321"/>
        <w:gridCol w:w="1089"/>
        <w:gridCol w:w="146"/>
        <w:gridCol w:w="146"/>
        <w:gridCol w:w="436"/>
        <w:gridCol w:w="1484"/>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employee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8. Commitments and Contingencies</w:t>
      </w:r>
    </w:p>
    <w:p>
      <w:pPr>
        <w:pStyle w:val="TextBody"/>
        <w:bidi w:val="0"/>
        <w:spacing w:before="120" w:after="283"/>
        <w:jc w:val="left"/>
        <w:rPr>
          <w:rFonts w:ascii="sans-serif" w:hAnsi="sans-serif"/>
          <w:b/>
          <w:color w:val="000000"/>
          <w:sz w:val="20"/>
        </w:rPr>
      </w:pPr>
      <w:r>
        <w:rPr>
          <w:rFonts w:ascii="sans-serif" w:hAnsi="sans-serif"/>
          <w:b/>
          <w:color w:val="000000"/>
          <w:sz w:val="20"/>
        </w:rPr>
        <w:t>Litigation</w:t>
      </w:r>
    </w:p>
    <w:p>
      <w:pPr>
        <w:pStyle w:val="TextBody"/>
        <w:bidi w:val="0"/>
        <w:spacing w:before="120" w:after="283"/>
        <w:jc w:val="left"/>
        <w:rPr>
          <w:rFonts w:ascii="Times New Roman" w:hAnsi="Times New Roman"/>
          <w:sz w:val="20"/>
        </w:rPr>
      </w:pPr>
      <w:r>
        <w:rPr>
          <w:rFonts w:ascii="sans-serif" w:hAnsi="sans-serif"/>
          <w:color w:val="000000"/>
          <w:sz w:val="20"/>
        </w:rPr>
        <w:t>From time to time, the Company may be involved in legal proceedings or be subject to claims arising in the ordinary course of its business. The Company is not currently a party to any material legal proceedings. Regardless of outcome, any proceedings or claims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can have an adverse impact on the Company because of defense and settlement costs, diversion of resources and other factors, and there can be no assurances that favorable outcomes will be obtained.</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Indemnification agreements</w:t>
      </w:r>
    </w:p>
    <w:p>
      <w:pPr>
        <w:pStyle w:val="TextBody"/>
        <w:bidi w:val="0"/>
        <w:spacing w:before="120" w:after="283"/>
        <w:jc w:val="left"/>
        <w:rPr>
          <w:rFonts w:ascii="sans-serif" w:hAnsi="sans-serif"/>
          <w:color w:val="000000"/>
          <w:sz w:val="20"/>
        </w:rPr>
      </w:pPr>
      <w:r>
        <w:rPr>
          <w:rFonts w:ascii="sans-serif" w:hAnsi="sans-serif"/>
          <w:color w:val="000000"/>
          <w:sz w:val="20"/>
        </w:rPr>
        <w:t>In the ordinary course of business, the Company has provided and may provide indemnification of varying scope and terms to vendors, consultants, lessors, business partners and other parties with respect to certain matters including, but not limited to, losses arising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June 30, 2026 and December 31, 2025.</w:t>
      </w:r>
    </w:p>
    <w:p>
      <w:pPr>
        <w:pStyle w:val="TextBody"/>
        <w:bidi w:val="0"/>
        <w:spacing w:before="200" w:after="283"/>
        <w:jc w:val="left"/>
        <w:rPr>
          <w:rFonts w:ascii="sans-serif" w:hAnsi="sans-serif"/>
          <w:b/>
          <w:color w:val="000000"/>
          <w:sz w:val="20"/>
        </w:rPr>
      </w:pPr>
      <w:r>
        <w:rPr>
          <w:rFonts w:ascii="sans-serif" w:hAnsi="sans-serif"/>
          <w:b/>
          <w:color w:val="000000"/>
          <w:sz w:val="20"/>
        </w:rPr>
        <w:t>9. Common Stock</w:t>
      </w:r>
    </w:p>
    <w:p>
      <w:pPr>
        <w:pStyle w:val="TextBody"/>
        <w:bidi w:val="0"/>
        <w:spacing w:before="120" w:after="283"/>
        <w:jc w:val="left"/>
        <w:rPr>
          <w:rFonts w:ascii="Times New Roman" w:hAnsi="Times New Roman"/>
          <w:sz w:val="20"/>
        </w:rPr>
      </w:pPr>
      <w:r>
        <w:rPr>
          <w:rFonts w:ascii="sans-serif" w:hAnsi="sans-serif"/>
          <w:color w:val="000000"/>
          <w:sz w:val="20"/>
        </w:rPr>
        <w:t>As of June 30, 2026 and December 31, 2025, the Company’s Amended and Restated Certificate of Incorporation, as amended, authorized 200,000,000</w:t>
      </w:r>
      <w:r>
        <w:rPr>
          <w:rFonts w:ascii="Times New Roman" w:hAnsi="Times New Roman"/>
          <w:color w:val="000000"/>
          <w:sz w:val="20"/>
        </w:rPr>
        <w:t xml:space="preserve"> </w:t>
      </w:r>
      <w:r>
        <w:rPr>
          <w:rFonts w:ascii="sans-serif" w:hAnsi="sans-serif"/>
          <w:color w:val="000000"/>
          <w:sz w:val="20"/>
        </w:rPr>
        <w:t>and 100,000,000</w:t>
      </w:r>
      <w:r>
        <w:rPr>
          <w:rFonts w:ascii="Times New Roman" w:hAnsi="Times New Roman"/>
          <w:color w:val="000000"/>
          <w:sz w:val="20"/>
        </w:rPr>
        <w:t xml:space="preserve"> </w:t>
      </w:r>
      <w:r>
        <w:rPr>
          <w:rFonts w:ascii="sans-serif" w:hAnsi="sans-serif"/>
          <w:color w:val="000000"/>
          <w:sz w:val="20"/>
        </w:rPr>
        <w:t>shares, respectively, of common stock, par value $0.001, of which 73,251,648</w:t>
      </w:r>
      <w:r>
        <w:rPr>
          <w:rFonts w:ascii="Times New Roman" w:hAnsi="Times New Roman"/>
          <w:color w:val="000000"/>
          <w:sz w:val="20"/>
        </w:rPr>
        <w:t xml:space="preserve"> </w:t>
      </w:r>
      <w:r>
        <w:rPr>
          <w:rFonts w:ascii="sans-serif" w:hAnsi="sans-serif"/>
          <w:color w:val="000000"/>
          <w:sz w:val="20"/>
        </w:rPr>
        <w:t>and 59,440,045</w:t>
      </w:r>
      <w:r>
        <w:rPr>
          <w:rFonts w:ascii="Times New Roman" w:hAnsi="Times New Roman"/>
          <w:color w:val="000000"/>
          <w:sz w:val="20"/>
        </w:rPr>
        <w:t xml:space="preserve"> </w:t>
      </w:r>
      <w:r>
        <w:rPr>
          <w:rFonts w:ascii="sans-serif" w:hAnsi="sans-serif"/>
          <w:color w:val="000000"/>
          <w:sz w:val="20"/>
        </w:rPr>
        <w:t>shares, respectively, were issued and outstanding.</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Each share of common stock entitles the holder to one</w:t>
      </w:r>
      <w:r>
        <w:rPr>
          <w:rFonts w:ascii="Times New Roman" w:hAnsi="Times New Roman"/>
          <w:color w:val="000000"/>
          <w:sz w:val="20"/>
        </w:rPr>
        <w:t xml:space="preserve"> </w:t>
      </w:r>
      <w:r>
        <w:rPr>
          <w:rFonts w:ascii="sans-serif" w:hAnsi="sans-serif"/>
          <w:color w:val="000000"/>
          <w:sz w:val="20"/>
        </w:rPr>
        <w:t>vote on all matters submitted to a vote of the Company’s stockholders. Common stockholders are entitled to receive dividends, as may be declared by the Company’s board of directors, if any. No</w:t>
      </w:r>
      <w:r>
        <w:rPr>
          <w:rFonts w:ascii="Times New Roman" w:hAnsi="Times New Roman"/>
          <w:color w:val="000000"/>
          <w:sz w:val="20"/>
        </w:rPr>
        <w:t xml:space="preserve"> </w:t>
      </w:r>
      <w:r>
        <w:rPr>
          <w:rFonts w:ascii="sans-serif" w:hAnsi="sans-serif"/>
          <w:color w:val="000000"/>
          <w:sz w:val="20"/>
        </w:rPr>
        <w:t>dividends have been declared or paid by the Company through June 30, 2026.</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June 23, 2023, the Company entered into the Sales Agreement with the Sales Agent, pursuant to which the Company may offer and sell shares of its common stock, from time to time. On August 13, 2025, the Company filed the Automatic Shelf Registration Statement with the SEC that allows the Company to undertake an indeterminate amount of equity and debt offerings. On August 13, 2025, the Company also filed a prospectus supplement to the Automatic Shelf Registration Statement that covers the offering, issuance and sale of up to $200.0</w:t>
      </w:r>
      <w:r>
        <w:rPr>
          <w:rFonts w:ascii="Times New Roman" w:hAnsi="Times New Roman"/>
          <w:color w:val="000000"/>
          <w:sz w:val="20"/>
        </w:rPr>
        <w:t xml:space="preserve"> </w:t>
      </w:r>
      <w:r>
        <w:rPr>
          <w:rFonts w:ascii="sans-serif" w:hAnsi="sans-serif"/>
          <w:color w:val="000000"/>
          <w:sz w:val="20"/>
        </w:rPr>
        <w:t>million of its common stock under the Sales Agreement. During the six months ended June 30, 2026, and the year ended December 31, 2025, there were no</w:t>
      </w:r>
      <w:r>
        <w:rPr>
          <w:rFonts w:ascii="Times New Roman" w:hAnsi="Times New Roman"/>
          <w:color w:val="000000"/>
          <w:sz w:val="20"/>
        </w:rPr>
        <w:t xml:space="preserve"> </w:t>
      </w:r>
      <w:r>
        <w:rPr>
          <w:rFonts w:ascii="sans-serif" w:hAnsi="sans-serif"/>
          <w:color w:val="000000"/>
          <w:sz w:val="20"/>
        </w:rPr>
        <w:t>sales of common stock pursuant to the Sales Agreement.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March 21, 2024, the Company sold in a private placement (the "Private Placement") 5,357,144</w:t>
      </w:r>
      <w:r>
        <w:rPr>
          <w:rFonts w:ascii="Times New Roman" w:hAnsi="Times New Roman"/>
          <w:color w:val="000000"/>
          <w:sz w:val="20"/>
        </w:rPr>
        <w:t xml:space="preserve"> </w:t>
      </w:r>
      <w:r>
        <w:rPr>
          <w:rFonts w:ascii="sans-serif" w:hAnsi="sans-serif"/>
          <w:color w:val="000000"/>
          <w:sz w:val="20"/>
        </w:rPr>
        <w:t>shares of its common stock at $14.00</w:t>
      </w:r>
      <w:r>
        <w:rPr>
          <w:rFonts w:ascii="Times New Roman" w:hAnsi="Times New Roman"/>
          <w:color w:val="000000"/>
          <w:sz w:val="20"/>
        </w:rPr>
        <w:t xml:space="preserve"> </w:t>
      </w:r>
      <w:r>
        <w:rPr>
          <w:rFonts w:ascii="sans-serif" w:hAnsi="sans-serif"/>
          <w:color w:val="000000"/>
          <w:sz w:val="20"/>
        </w:rPr>
        <w:t>per share and pre-funded warrants to purchase 1,071,505</w:t>
      </w:r>
      <w:r>
        <w:rPr>
          <w:rFonts w:ascii="Times New Roman" w:hAnsi="Times New Roman"/>
          <w:color w:val="000000"/>
          <w:sz w:val="20"/>
        </w:rPr>
        <w:t xml:space="preserve"> </w:t>
      </w:r>
      <w:r>
        <w:rPr>
          <w:rFonts w:ascii="sans-serif" w:hAnsi="sans-serif"/>
          <w:color w:val="000000"/>
          <w:sz w:val="20"/>
        </w:rPr>
        <w:t>shares of its common stock at a price of $13.999</w:t>
      </w:r>
      <w:r>
        <w:rPr>
          <w:rFonts w:ascii="Times New Roman" w:hAnsi="Times New Roman"/>
          <w:color w:val="000000"/>
          <w:sz w:val="20"/>
        </w:rPr>
        <w:t xml:space="preserve"> </w:t>
      </w:r>
      <w:r>
        <w:rPr>
          <w:rFonts w:ascii="sans-serif" w:hAnsi="sans-serif"/>
          <w:color w:val="000000"/>
          <w:sz w:val="20"/>
        </w:rPr>
        <w:t>per pre-funded warrant, resulting in aggregate gross proceeds of $90.0</w:t>
      </w:r>
      <w:r>
        <w:rPr>
          <w:rFonts w:ascii="Times New Roman" w:hAnsi="Times New Roman"/>
          <w:color w:val="000000"/>
          <w:sz w:val="20"/>
        </w:rPr>
        <w:t xml:space="preserve"> </w:t>
      </w:r>
      <w:r>
        <w:rPr>
          <w:rFonts w:ascii="sans-serif" w:hAnsi="sans-serif"/>
          <w:color w:val="000000"/>
          <w:sz w:val="20"/>
        </w:rPr>
        <w:t>million, before issuance costs of $0.3</w:t>
      </w:r>
      <w:r>
        <w:rPr>
          <w:rFonts w:ascii="Times New Roman" w:hAnsi="Times New Roman"/>
          <w:color w:val="000000"/>
          <w:sz w:val="20"/>
        </w:rPr>
        <w:t xml:space="preserve"> </w:t>
      </w:r>
      <w:r>
        <w:rPr>
          <w:rFonts w:ascii="sans-serif" w:hAnsi="sans-serif"/>
          <w:color w:val="000000"/>
          <w:sz w:val="20"/>
        </w:rPr>
        <w:t>million. The pre-funded warrants have an exercise price of $0.001</w:t>
      </w:r>
      <w:r>
        <w:rPr>
          <w:rFonts w:ascii="Times New Roman" w:hAnsi="Times New Roman"/>
          <w:color w:val="000000"/>
          <w:sz w:val="20"/>
        </w:rPr>
        <w:t xml:space="preserve"> </w:t>
      </w:r>
      <w:r>
        <w:rPr>
          <w:rFonts w:ascii="sans-serif" w:hAnsi="sans-serif"/>
          <w:color w:val="000000"/>
          <w:sz w:val="20"/>
        </w:rPr>
        <w:t>per share, subject to proportional adjustments in the event of stock splits or combinations or similar events, are immediately exercisable on the date of issuance and remain exercisable until exercised in full. As of June 30, 2026, all of the pre-funded warrants related to the Private Placement remain unexercised and outstanding.</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June 16, 2025, the Company completed an underwritten public offering (the "2025 Public Offering") where it sold 9,920,987</w:t>
      </w:r>
      <w:r>
        <w:rPr>
          <w:rFonts w:ascii="Times New Roman" w:hAnsi="Times New Roman"/>
          <w:color w:val="000000"/>
          <w:sz w:val="20"/>
        </w:rPr>
        <w:t xml:space="preserve"> </w:t>
      </w:r>
      <w:r>
        <w:rPr>
          <w:rFonts w:ascii="sans-serif" w:hAnsi="sans-serif"/>
          <w:color w:val="000000"/>
          <w:sz w:val="20"/>
        </w:rPr>
        <w:t>shares of its common stock at a price to the public of $19.66</w:t>
      </w:r>
      <w:r>
        <w:rPr>
          <w:rFonts w:ascii="Times New Roman" w:hAnsi="Times New Roman"/>
          <w:color w:val="000000"/>
          <w:sz w:val="20"/>
        </w:rPr>
        <w:t xml:space="preserve"> </w:t>
      </w:r>
      <w:r>
        <w:rPr>
          <w:rFonts w:ascii="sans-serif" w:hAnsi="sans-serif"/>
          <w:color w:val="000000"/>
          <w:sz w:val="20"/>
        </w:rPr>
        <w:t>per share and pre-funded warrants to purchase 1,780,263</w:t>
      </w:r>
      <w:r>
        <w:rPr>
          <w:rFonts w:ascii="Times New Roman" w:hAnsi="Times New Roman"/>
          <w:color w:val="000000"/>
          <w:sz w:val="20"/>
        </w:rPr>
        <w:t xml:space="preserve"> </w:t>
      </w:r>
      <w:r>
        <w:rPr>
          <w:rFonts w:ascii="sans-serif" w:hAnsi="sans-serif"/>
          <w:color w:val="000000"/>
          <w:sz w:val="20"/>
        </w:rPr>
        <w:t>shares of its common stock at a price to the public of $19.659</w:t>
      </w:r>
      <w:r>
        <w:rPr>
          <w:rFonts w:ascii="Times New Roman" w:hAnsi="Times New Roman"/>
          <w:color w:val="000000"/>
          <w:sz w:val="20"/>
        </w:rPr>
        <w:t xml:space="preserve"> </w:t>
      </w:r>
      <w:r>
        <w:rPr>
          <w:rFonts w:ascii="sans-serif" w:hAnsi="sans-serif"/>
          <w:color w:val="000000"/>
          <w:sz w:val="20"/>
        </w:rPr>
        <w:t>per pre-funded warrant, resulting in aggregate gross proceeds of $230.0</w:t>
      </w:r>
      <w:r>
        <w:rPr>
          <w:rFonts w:ascii="Times New Roman" w:hAnsi="Times New Roman"/>
          <w:color w:val="000000"/>
          <w:sz w:val="20"/>
        </w:rPr>
        <w:t xml:space="preserve"> </w:t>
      </w:r>
      <w:r>
        <w:rPr>
          <w:rFonts w:ascii="sans-serif" w:hAnsi="sans-serif"/>
          <w:color w:val="000000"/>
          <w:sz w:val="20"/>
        </w:rPr>
        <w:t>million, before issuance costs of $13.9</w:t>
      </w:r>
      <w:r>
        <w:rPr>
          <w:rFonts w:ascii="Times New Roman" w:hAnsi="Times New Roman"/>
          <w:color w:val="000000"/>
          <w:sz w:val="20"/>
        </w:rPr>
        <w:t xml:space="preserve"> </w:t>
      </w:r>
      <w:r>
        <w:rPr>
          <w:rFonts w:ascii="sans-serif" w:hAnsi="sans-serif"/>
          <w:color w:val="000000"/>
          <w:sz w:val="20"/>
        </w:rPr>
        <w:t>million. The pre-funded warrants have an exercise price of $0.001</w:t>
      </w:r>
      <w:r>
        <w:rPr>
          <w:rFonts w:ascii="Times New Roman" w:hAnsi="Times New Roman"/>
          <w:color w:val="000000"/>
          <w:sz w:val="20"/>
        </w:rPr>
        <w:t xml:space="preserve"> </w:t>
      </w:r>
      <w:r>
        <w:rPr>
          <w:rFonts w:ascii="sans-serif" w:hAnsi="sans-serif"/>
          <w:color w:val="000000"/>
          <w:sz w:val="20"/>
        </w:rPr>
        <w:t>per share, subject to proportional adjustments in the event of stock splits or combinations or similar events, are immediately exercisable on the date of issuance and remain exercisable until exercised in full. As of June 30, 2026, all of the pre-funded warrants related to the 2025 Public Offering remain unexercised and outstanding.</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June 15, 2026, the Company completed the 2026 Public Offering where it sold 10,533,334</w:t>
      </w:r>
      <w:r>
        <w:rPr>
          <w:rFonts w:ascii="Times New Roman" w:hAnsi="Times New Roman"/>
          <w:color w:val="000000"/>
          <w:sz w:val="20"/>
        </w:rPr>
        <w:t xml:space="preserve"> </w:t>
      </w:r>
      <w:r>
        <w:rPr>
          <w:rFonts w:ascii="sans-serif" w:hAnsi="sans-serif"/>
          <w:color w:val="000000"/>
          <w:sz w:val="20"/>
        </w:rPr>
        <w:t>shares of its common stock at a price to the public of $37.50</w:t>
      </w:r>
      <w:r>
        <w:rPr>
          <w:rFonts w:ascii="Times New Roman" w:hAnsi="Times New Roman"/>
          <w:color w:val="000000"/>
          <w:sz w:val="20"/>
        </w:rPr>
        <w:t xml:space="preserve"> </w:t>
      </w:r>
      <w:r>
        <w:rPr>
          <w:rFonts w:ascii="sans-serif" w:hAnsi="sans-serif"/>
          <w:color w:val="000000"/>
          <w:sz w:val="20"/>
        </w:rPr>
        <w:t>per share and pre-funded warrants to purchase 1,733,333</w:t>
      </w:r>
      <w:r>
        <w:rPr>
          <w:rFonts w:ascii="Times New Roman" w:hAnsi="Times New Roman"/>
          <w:color w:val="000000"/>
          <w:sz w:val="20"/>
        </w:rPr>
        <w:t xml:space="preserve"> </w:t>
      </w:r>
      <w:r>
        <w:rPr>
          <w:rFonts w:ascii="sans-serif" w:hAnsi="sans-serif"/>
          <w:color w:val="000000"/>
          <w:sz w:val="20"/>
        </w:rPr>
        <w:t>shares of its common stock at a price to the public of $37.499</w:t>
      </w:r>
      <w:r>
        <w:rPr>
          <w:rFonts w:ascii="Times New Roman" w:hAnsi="Times New Roman"/>
          <w:color w:val="000000"/>
          <w:sz w:val="20"/>
        </w:rPr>
        <w:t xml:space="preserve"> </w:t>
      </w:r>
      <w:r>
        <w:rPr>
          <w:rFonts w:ascii="sans-serif" w:hAnsi="sans-serif"/>
          <w:color w:val="000000"/>
          <w:sz w:val="20"/>
        </w:rPr>
        <w:t>per pre-funded warrant, resulting in aggregate gross proceeds of $460.0</w:t>
      </w:r>
      <w:r>
        <w:rPr>
          <w:rFonts w:ascii="Times New Roman" w:hAnsi="Times New Roman"/>
          <w:color w:val="000000"/>
          <w:sz w:val="20"/>
        </w:rPr>
        <w:t xml:space="preserve"> </w:t>
      </w:r>
      <w:r>
        <w:rPr>
          <w:rFonts w:ascii="sans-serif" w:hAnsi="sans-serif"/>
          <w:color w:val="000000"/>
          <w:sz w:val="20"/>
        </w:rPr>
        <w:t>million, before issuance costs of $27.4</w:t>
      </w:r>
      <w:r>
        <w:rPr>
          <w:rFonts w:ascii="Times New Roman" w:hAnsi="Times New Roman"/>
          <w:color w:val="000000"/>
          <w:sz w:val="20"/>
        </w:rPr>
        <w:t xml:space="preserve"> </w:t>
      </w:r>
      <w:r>
        <w:rPr>
          <w:rFonts w:ascii="sans-serif" w:hAnsi="sans-serif"/>
          <w:color w:val="000000"/>
          <w:sz w:val="20"/>
        </w:rPr>
        <w:t>million. The pre-funded warrants have an exercise price of $0.001</w:t>
      </w:r>
      <w:r>
        <w:rPr>
          <w:rFonts w:ascii="Times New Roman" w:hAnsi="Times New Roman"/>
          <w:color w:val="000000"/>
          <w:sz w:val="20"/>
        </w:rPr>
        <w:t xml:space="preserve"> </w:t>
      </w:r>
      <w:r>
        <w:rPr>
          <w:rFonts w:ascii="sans-serif" w:hAnsi="sans-serif"/>
          <w:color w:val="000000"/>
          <w:sz w:val="20"/>
        </w:rPr>
        <w:t>per share, subject to proportional adjustments in the event of stock splits or combinations or similar events, are immediately exercisable on the date of issuance and remain exercisable until exercised in full. As of June 30, 2026, all of the pre-funded warrants related to the 2026 Public Offering remain unexercised and outstanding.</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Company's outstanding pre-funded warrants met the permanent equity criteria classification and, therefore, were classified as a component of permanent stockholders’ equity within additional paid-in capital. The pre-funded warrants are equity classified because they (i) are freestanding financial instruments that are legally detachable and separately exercisable from the equity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the pre-funded warrants do not provide any guarantee of value or return.</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Company had the following shares of common stock reserved for future issuance: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9"/>
        <w:gridCol w:w="146"/>
        <w:gridCol w:w="153"/>
        <w:gridCol w:w="1253"/>
        <w:gridCol w:w="146"/>
        <w:gridCol w:w="146"/>
        <w:gridCol w:w="207"/>
        <w:gridCol w:w="1691"/>
        <w:gridCol w:w="194"/>
      </w:tblGrid>
      <w:tr>
        <w:trPr/>
        <w:tc>
          <w:tcPr>
            <w:tcW w:w="6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7,956,284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9,325,875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76,973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awards available for grant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5,065,815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4,561,256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Shares available for issuance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699,490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723,754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Issuance of common stock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4,585,101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2,851,768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18,669,492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17,539,626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10. Stock-Based Compensation</w:t>
      </w:r>
    </w:p>
    <w:p>
      <w:pPr>
        <w:pStyle w:val="TextBody"/>
        <w:bidi w:val="0"/>
        <w:spacing w:before="120" w:after="283"/>
        <w:jc w:val="left"/>
        <w:rPr>
          <w:rFonts w:ascii="sans-serif" w:hAnsi="sans-serif"/>
          <w:b/>
          <w:color w:val="000000"/>
          <w:sz w:val="20"/>
        </w:rPr>
      </w:pPr>
      <w:r>
        <w:rPr>
          <w:rFonts w:ascii="sans-serif" w:hAnsi="sans-serif"/>
          <w:b/>
          <w:color w:val="000000"/>
          <w:sz w:val="20"/>
        </w:rPr>
        <w:t>Equity Incentive Plans</w:t>
      </w:r>
    </w:p>
    <w:p>
      <w:pPr>
        <w:pStyle w:val="TextBody"/>
        <w:bidi w:val="0"/>
        <w:spacing w:before="120" w:after="283"/>
        <w:jc w:val="left"/>
        <w:rPr>
          <w:rFonts w:ascii="Times New Roman" w:hAnsi="Times New Roman"/>
          <w:sz w:val="20"/>
        </w:rPr>
      </w:pPr>
      <w:r>
        <w:rPr>
          <w:rFonts w:ascii="sans-serif" w:hAnsi="sans-serif"/>
          <w:b/>
          <w:i/>
          <w:color w:val="000000"/>
          <w:sz w:val="20"/>
        </w:rPr>
        <w:t>2019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In July 2019, Former Enliven adopted the 2019 Equity Incentive Plan (the “2019 Plan”) pursuant to which its board of directors may grant non-statutory stock options, stock appreciation rights, restricted stock, and restricted stock units to employees and non-employees and incentive stock options only to employees. The 2019 Plan was terminated as of the close of the Merger, and no</w:t>
      </w:r>
      <w:r>
        <w:rPr>
          <w:rFonts w:ascii="Times New Roman" w:hAnsi="Times New Roman"/>
          <w:color w:val="000000"/>
          <w:sz w:val="20"/>
        </w:rPr>
        <w:t xml:space="preserve"> </w:t>
      </w:r>
      <w:r>
        <w:rPr>
          <w:rFonts w:ascii="sans-serif" w:hAnsi="sans-serif"/>
          <w:color w:val="000000"/>
          <w:sz w:val="20"/>
        </w:rPr>
        <w:t>shares remain available for future issuance under the 2019 Plan. Any options outstanding under the 2019 Plan remained outstanding and effective.</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2020 Equity Incentive Plan</w:t>
      </w:r>
    </w:p>
    <w:p>
      <w:pPr>
        <w:pStyle w:val="TextBody"/>
        <w:bidi w:val="0"/>
        <w:spacing w:before="120" w:after="283"/>
        <w:jc w:val="left"/>
        <w:rPr>
          <w:rFonts w:ascii="Times New Roman" w:hAnsi="Times New Roman"/>
          <w:sz w:val="20"/>
        </w:rPr>
      </w:pPr>
      <w:r>
        <w:rPr>
          <w:rFonts w:ascii="sans-serif" w:hAnsi="sans-serif"/>
          <w:color w:val="000000"/>
          <w:sz w:val="20"/>
        </w:rPr>
        <w:t>On October 1, 2019, the Company’s board of directors adopted, and on February 26, 2020, the Company’s stockholders approved, the 2020 Equity Incentive Plan, which became effective on March 11, 2020 (the “2020 Plan”). The 2020 Plan provides for the grant of incentive stock options, nonqualified stock options, stock appreciation rights, restricted stock awards, restricted stock units and other stock-based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November 8, 2022, the Company’s board of directors adopted, and on February 22, 2023, the Company’s stockholders approved, the amendment and restatement of the 2020 Plan. The number of shares reserved for issuance under the 2020 Plan is equal to 4,275,000</w:t>
      </w:r>
      <w:r>
        <w:rPr>
          <w:rFonts w:ascii="Times New Roman" w:hAnsi="Times New Roman"/>
          <w:color w:val="000000"/>
          <w:sz w:val="20"/>
        </w:rPr>
        <w:t xml:space="preserve"> </w:t>
      </w:r>
      <w:r>
        <w:rPr>
          <w:rFonts w:ascii="sans-serif" w:hAnsi="sans-serif"/>
          <w:color w:val="000000"/>
          <w:sz w:val="20"/>
        </w:rPr>
        <w:t>shares of the Company’s common stock. The number of shares reserved shall be annually increased on the first day of each fiscal year, beginning with the fiscal year commencing on January 1, 2024 and continuing until, and including, the fiscal year commencing January 1, 2032, equal to the least of (i) 4.5% of the number of shares of the Company’s common stock outstanding on the first day of such fiscal year and (ii) an amount determined by the Company’s board of directors.</w:t>
      </w:r>
      <w:r>
        <w:rPr>
          <w:rFonts w:ascii="Times New Roman" w:hAnsi="Times New Roman"/>
          <w:color w:val="000000"/>
          <w:sz w:val="20"/>
        </w:rPr>
        <w:t xml:space="preserve"> </w:t>
      </w:r>
      <w:r>
        <w:rPr>
          <w:rFonts w:ascii="sans-serif" w:hAnsi="sans-serif"/>
          <w:color w:val="000000"/>
          <w:sz w:val="20"/>
        </w:rPr>
        <w:t>The shares of common stock underlying any awards that expire, terminate, or are otherwise surrendered, cancelled, forfeited or repurchased by the Company under the 2020 Plan will be added back to the shares of common stock available for issuance under the 2020 Plan. On June 18, 2024, the Company’s stockholders approved the amendment and restatement of the 2020 Plan, which increased the number of shares authorized for issuance thereunder by 2,900,000</w:t>
      </w:r>
      <w:r>
        <w:rPr>
          <w:rFonts w:ascii="Times New Roman" w:hAnsi="Times New Roman"/>
          <w:color w:val="000000"/>
          <w:sz w:val="20"/>
        </w:rPr>
        <w:t xml:space="preserve"> </w:t>
      </w:r>
      <w:r>
        <w:rPr>
          <w:rFonts w:ascii="sans-serif" w:hAnsi="sans-serif"/>
          <w:color w:val="000000"/>
          <w:sz w:val="20"/>
        </w:rPr>
        <w:t>shares. As of June 30, 2026, 5,065,815</w:t>
      </w:r>
      <w:r>
        <w:rPr>
          <w:rFonts w:ascii="Times New Roman" w:hAnsi="Times New Roman"/>
          <w:color w:val="000000"/>
          <w:sz w:val="20"/>
        </w:rPr>
        <w:t xml:space="preserve"> </w:t>
      </w:r>
      <w:r>
        <w:rPr>
          <w:rFonts w:ascii="sans-serif" w:hAnsi="sans-serif"/>
          <w:color w:val="000000"/>
          <w:sz w:val="20"/>
        </w:rPr>
        <w:t>shares of the Company’s common stock remained available for issuance under the 2020 Plan.</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2025 Inducement Equity Incentive Plan</w:t>
      </w:r>
    </w:p>
    <w:p>
      <w:pPr>
        <w:pStyle w:val="TextBody"/>
        <w:bidi w:val="0"/>
        <w:spacing w:before="120" w:after="283"/>
        <w:jc w:val="left"/>
        <w:rPr>
          <w:rFonts w:ascii="Times New Roman" w:hAnsi="Times New Roman"/>
          <w:sz w:val="20"/>
        </w:rPr>
      </w:pPr>
      <w:r>
        <w:rPr>
          <w:rFonts w:ascii="sans-serif" w:hAnsi="sans-serif"/>
          <w:color w:val="000000"/>
          <w:sz w:val="20"/>
        </w:rPr>
        <w:t>Effective December 9, 2025, the Company’s board of directors adopted the 2025 Inducement Equity Incentive Plan (the “Inducement Plan”), which, subject to the adjustment provisions of the Inducement Plan, reserved 875,000</w:t>
      </w:r>
      <w:r>
        <w:rPr>
          <w:rFonts w:ascii="Times New Roman" w:hAnsi="Times New Roman"/>
          <w:color w:val="000000"/>
          <w:sz w:val="20"/>
        </w:rPr>
        <w:t xml:space="preserve"> </w:t>
      </w:r>
      <w:r>
        <w:rPr>
          <w:rFonts w:ascii="sans-serif" w:hAnsi="sans-serif"/>
          <w:color w:val="000000"/>
          <w:sz w:val="20"/>
        </w:rPr>
        <w:t>shares of the Company’s common stock for issuance pursuant to equity awards granted under the Inducement Plan. The Inducement Plan was adopted without stockholder approval pursuant to The Nasdaq Stock Market LLC’s (“Nasdaq”) applicable Listing Rules. The Inducement Plan provides for the grant of equity-based awards, including non-statutory stock options, stock appreciation rights, restricted stock and restricted stock units, and its terms are substantially similar to the Company’s 2020 Plan, subject to modifications intended to comply with the Nasdaq inducement award and acquisition and merger exceptions. In accordance with the Nasdaq Listing Rules, awards under the Inducement Plan may only be granted to individuals who were not previously employees or non-employee directors of the Company (or following such individuals’ bona fide period of non-employment with the Company), as an inducement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material to the individuals’ entry into employment with the Company, or, to the extent permitted, in connection with a merger or acquisition. As of June 30, 2026, 0</w:t>
      </w:r>
      <w:r>
        <w:rPr>
          <w:rFonts w:ascii="Times New Roman" w:hAnsi="Times New Roman"/>
          <w:color w:val="000000"/>
          <w:sz w:val="20"/>
        </w:rPr>
        <w:t xml:space="preserve"> </w:t>
      </w:r>
      <w:r>
        <w:rPr>
          <w:rFonts w:ascii="sans-serif" w:hAnsi="sans-serif"/>
          <w:color w:val="000000"/>
          <w:sz w:val="20"/>
        </w:rPr>
        <w:t>shares of the Company’s common stock remained available for issuance under the Inducement Plan.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Awards granted under the Company’s equity plans expire no later than 10 years</w:t>
      </w:r>
      <w:r>
        <w:rPr>
          <w:rFonts w:ascii="Times New Roman" w:hAnsi="Times New Roman"/>
          <w:color w:val="000000"/>
          <w:sz w:val="20"/>
        </w:rPr>
        <w:t xml:space="preserve"> </w:t>
      </w:r>
      <w:r>
        <w:rPr>
          <w:rFonts w:ascii="sans-serif" w:hAnsi="sans-serif"/>
          <w:color w:val="000000"/>
          <w:sz w:val="20"/>
        </w:rPr>
        <w:t>from the date of grant. Options and restricted stock granted to employees typically vest over a four-year</w:t>
      </w:r>
      <w:r>
        <w:rPr>
          <w:rFonts w:ascii="Times New Roman" w:hAnsi="Times New Roman"/>
          <w:color w:val="000000"/>
          <w:sz w:val="20"/>
        </w:rPr>
        <w:t xml:space="preserve"> </w:t>
      </w:r>
      <w:r>
        <w:rPr>
          <w:rFonts w:ascii="sans-serif" w:hAnsi="sans-serif"/>
          <w:color w:val="000000"/>
          <w:sz w:val="20"/>
        </w:rPr>
        <w:t>period but may have been granted with different vesting terms.</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2020 Employee Stock Purchase Plan</w:t>
      </w:r>
    </w:p>
    <w:p>
      <w:pPr>
        <w:pStyle w:val="TextBody"/>
        <w:bidi w:val="0"/>
        <w:spacing w:before="120" w:after="283"/>
        <w:jc w:val="left"/>
        <w:rPr>
          <w:rFonts w:ascii="Times New Roman" w:hAnsi="Times New Roman"/>
          <w:sz w:val="20"/>
        </w:rPr>
      </w:pPr>
      <w:r>
        <w:rPr>
          <w:rFonts w:ascii="sans-serif" w:hAnsi="sans-serif"/>
          <w:color w:val="000000"/>
          <w:sz w:val="20"/>
        </w:rPr>
        <w:t>On October 1, 2019, the Company’s board of directors adopted, and on February 26, 2020, the Company’s stockholders approved, the 2020 Employee Stock Purchase Plan (the “ESPP”), which became effective on March 11, 2020. The ESPP permits eligible employees who elect to participate, in six-month offering periods, to purchase shares of common stock through payroll deductions at a price equal to 85% of the fair market value of the common stock on the first or last business day of each applicable six-month offering period, whichever is lower. Purchase dates under the ESPP occur on or about June 13 and December 13 each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November 8, 2022, the Company’s board of directors adopted, and on February 22, 2023, the Company’s stockholders approved, an amendment to the ESPP to increase its share reserve. The number of shares reserved for issuance under the ESPP is equal to 407,133</w:t>
      </w:r>
      <w:r>
        <w:rPr>
          <w:rFonts w:ascii="Times New Roman" w:hAnsi="Times New Roman"/>
          <w:color w:val="000000"/>
          <w:sz w:val="20"/>
        </w:rPr>
        <w:t xml:space="preserve"> </w:t>
      </w:r>
      <w:r>
        <w:rPr>
          <w:rFonts w:ascii="sans-serif" w:hAnsi="sans-serif"/>
          <w:color w:val="000000"/>
          <w:sz w:val="20"/>
        </w:rPr>
        <w:t>shares of the Company’s common stock. The number of shares reserved shall be annually increased on the first day of each fiscal year, beginning with the fiscal year commencing on January 1, 2024 and continuing until, and including, the fiscal year commencing January 1, 2043, equal to the least of (i) 407,133</w:t>
      </w:r>
      <w:r>
        <w:rPr>
          <w:rFonts w:ascii="Times New Roman" w:hAnsi="Times New Roman"/>
          <w:color w:val="000000"/>
          <w:sz w:val="20"/>
        </w:rPr>
        <w:t xml:space="preserve"> </w:t>
      </w:r>
      <w:r>
        <w:rPr>
          <w:rFonts w:ascii="sans-serif" w:hAnsi="sans-serif"/>
          <w:color w:val="000000"/>
          <w:sz w:val="20"/>
        </w:rPr>
        <w:t>shares of the Company’s common stock, (ii) 1% of the number of shares of the Company’s common stock outstanding on the first day of such fiscal year and (iii) an amount determined by the Company’s board of directors. As of June 30, 2026, 699,490</w:t>
      </w:r>
      <w:r>
        <w:rPr>
          <w:rFonts w:ascii="Times New Roman" w:hAnsi="Times New Roman"/>
          <w:color w:val="000000"/>
          <w:sz w:val="20"/>
        </w:rPr>
        <w:t xml:space="preserve"> </w:t>
      </w:r>
      <w:r>
        <w:rPr>
          <w:rFonts w:ascii="sans-serif" w:hAnsi="sans-serif"/>
          <w:color w:val="000000"/>
          <w:sz w:val="20"/>
        </w:rPr>
        <w:t>shares of the Company’s common stock remained available for issuance under the ESPP.</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Company issued 24,264</w:t>
      </w:r>
      <w:r>
        <w:rPr>
          <w:rFonts w:ascii="Times New Roman" w:hAnsi="Times New Roman"/>
          <w:color w:val="000000"/>
          <w:sz w:val="20"/>
        </w:rPr>
        <w:t xml:space="preserve"> </w:t>
      </w:r>
      <w:r>
        <w:rPr>
          <w:rFonts w:ascii="sans-serif" w:hAnsi="sans-serif"/>
          <w:color w:val="000000"/>
          <w:sz w:val="20"/>
        </w:rPr>
        <w:t>and 22,957</w:t>
      </w:r>
      <w:r>
        <w:rPr>
          <w:rFonts w:ascii="Times New Roman" w:hAnsi="Times New Roman"/>
          <w:color w:val="000000"/>
          <w:sz w:val="20"/>
        </w:rPr>
        <w:t xml:space="preserve"> </w:t>
      </w:r>
      <w:r>
        <w:rPr>
          <w:rFonts w:ascii="sans-serif" w:hAnsi="sans-serif"/>
          <w:color w:val="000000"/>
          <w:sz w:val="20"/>
        </w:rPr>
        <w:t>shares of its common stock under the ESPP during the six months ended June 30, 2026 and 2025, respectively. The Company had an outstanding liability of $53,000</w:t>
      </w:r>
      <w:r>
        <w:rPr>
          <w:rFonts w:ascii="Times New Roman" w:hAnsi="Times New Roman"/>
          <w:color w:val="000000"/>
          <w:sz w:val="20"/>
        </w:rPr>
        <w:t xml:space="preserve"> </w:t>
      </w:r>
      <w:r>
        <w:rPr>
          <w:rFonts w:ascii="sans-serif" w:hAnsi="sans-serif"/>
          <w:color w:val="000000"/>
          <w:sz w:val="20"/>
        </w:rPr>
        <w:t>and $48,000</w:t>
      </w:r>
      <w:r>
        <w:rPr>
          <w:rFonts w:ascii="Times New Roman" w:hAnsi="Times New Roman"/>
          <w:color w:val="000000"/>
          <w:sz w:val="20"/>
        </w:rPr>
        <w:t xml:space="preserve"> </w:t>
      </w:r>
      <w:r>
        <w:rPr>
          <w:rFonts w:ascii="sans-serif" w:hAnsi="sans-serif"/>
          <w:color w:val="000000"/>
          <w:sz w:val="20"/>
        </w:rPr>
        <w:t>at June 30, 2026 and December 31, 2025, respectively, which is included in accrued expenses and other current liabilities on the condensed consolidated balance sheets, for employee contributions to the ESPP for shares pending issuance at the end of the offering period. As of June 30, 2026, total stock-based compensation cost not yet recognized related to stock purchase rights under the ESPP was $0.1</w:t>
      </w:r>
      <w:r>
        <w:rPr>
          <w:rFonts w:ascii="Times New Roman" w:hAnsi="Times New Roman"/>
          <w:color w:val="000000"/>
          <w:sz w:val="20"/>
        </w:rPr>
        <w:t xml:space="preserve"> </w:t>
      </w:r>
      <w:r>
        <w:rPr>
          <w:rFonts w:ascii="sans-serif" w:hAnsi="sans-serif"/>
          <w:color w:val="000000"/>
          <w:sz w:val="20"/>
        </w:rPr>
        <w:t>million, which is expected to be recognized over a weighted-average period of 0.5</w:t>
      </w:r>
      <w:r>
        <w:rPr>
          <w:rFonts w:ascii="Times New Roman" w:hAnsi="Times New Roman"/>
          <w:color w:val="000000"/>
          <w:sz w:val="20"/>
        </w:rPr>
        <w:t xml:space="preserve"> </w:t>
      </w:r>
      <w:r>
        <w:rPr>
          <w:rFonts w:ascii="sans-serif" w:hAnsi="sans-serif"/>
          <w:color w:val="000000"/>
          <w:sz w:val="20"/>
        </w:rPr>
        <w:t>years.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Stock options</w:t>
      </w:r>
    </w:p>
    <w:p>
      <w:pPr>
        <w:pStyle w:val="TextBody"/>
        <w:bidi w:val="0"/>
        <w:spacing w:before="120" w:after="283"/>
        <w:jc w:val="left"/>
        <w:rPr>
          <w:rFonts w:ascii="sans-serif" w:hAnsi="sans-serif"/>
          <w:color w:val="000000"/>
          <w:sz w:val="20"/>
        </w:rPr>
      </w:pPr>
      <w:r>
        <w:rPr>
          <w:rFonts w:ascii="sans-serif" w:hAnsi="sans-serif"/>
          <w:color w:val="000000"/>
          <w:sz w:val="20"/>
        </w:rPr>
        <w:t>The following table summarizes stock option activity:</w:t>
      </w:r>
    </w:p>
    <w:p>
      <w:pPr>
        <w:pStyle w:val="TextBody"/>
        <w:bidi w:val="0"/>
        <w:jc w:val="left"/>
        <w:rPr/>
      </w:pPr>
      <w:r>
        <w:rPr/>
        <w:t> </w:t>
      </w:r>
    </w:p>
    <w:tbl>
      <w:tblPr>
        <w:tblW w:w="6940" w:type="dxa"/>
        <w:jc w:val="left"/>
        <w:tblInd w:w="0" w:type="dxa"/>
        <w:tblLayout w:type="fixed"/>
        <w:tblCellMar>
          <w:top w:w="28" w:type="dxa"/>
          <w:left w:w="28" w:type="dxa"/>
          <w:bottom w:w="28" w:type="dxa"/>
          <w:right w:w="28" w:type="dxa"/>
        </w:tblCellMar>
      </w:tblPr>
      <w:tblGrid>
        <w:gridCol w:w="3181"/>
        <w:gridCol w:w="161"/>
        <w:gridCol w:w="1264"/>
        <w:gridCol w:w="181"/>
        <w:gridCol w:w="146"/>
        <w:gridCol w:w="470"/>
        <w:gridCol w:w="1346"/>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Stock Options</w:t>
              <w:br/>
              <w:t>Outstanding</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Weighted-Average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Outstanding - January 1, 2026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9,325,875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Options granted</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2,351,382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Options exercised</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(3,231,107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Options cancelled and forfeited</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(489,866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Outstanding - June 30, 2026</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7,956,284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February 2026, the Company granted a performance-based stock option award to purchase 200,000</w:t>
      </w:r>
      <w:r>
        <w:rPr>
          <w:rFonts w:ascii="Times New Roman" w:hAnsi="Times New Roman"/>
          <w:color w:val="000000"/>
          <w:sz w:val="20"/>
        </w:rPr>
        <w:t xml:space="preserve"> </w:t>
      </w:r>
      <w:r>
        <w:rPr>
          <w:rFonts w:ascii="sans-serif" w:hAnsi="sans-serif"/>
          <w:color w:val="000000"/>
          <w:sz w:val="20"/>
        </w:rPr>
        <w:t>shares of its common stock with an exercise price of $27.16</w:t>
      </w:r>
      <w:r>
        <w:rPr>
          <w:rFonts w:ascii="Times New Roman" w:hAnsi="Times New Roman"/>
          <w:color w:val="000000"/>
          <w:sz w:val="20"/>
        </w:rPr>
        <w:t xml:space="preserve"> </w:t>
      </w:r>
      <w:r>
        <w:rPr>
          <w:rFonts w:ascii="sans-serif" w:hAnsi="sans-serif"/>
          <w:color w:val="000000"/>
          <w:sz w:val="20"/>
        </w:rPr>
        <w:t>per share, which is included in the options granted and related weighted-average exercise price in the table above. The award vests upon the achievement of specified development milestones related to current preclinical programs and continued service. As of June 30, 2026, the performance conditions were not considered probable, and accordingly, no</w:t>
      </w:r>
      <w:r>
        <w:rPr>
          <w:rFonts w:ascii="Times New Roman" w:hAnsi="Times New Roman"/>
          <w:color w:val="000000"/>
          <w:sz w:val="20"/>
        </w:rPr>
        <w:t xml:space="preserve"> </w:t>
      </w:r>
      <w:r>
        <w:rPr>
          <w:rFonts w:ascii="sans-serif" w:hAnsi="sans-serif"/>
          <w:color w:val="000000"/>
          <w:sz w:val="20"/>
        </w:rPr>
        <w:t>stock-based compensation expense has been recognized related to this award. As a result, the performance-based award is excluded from total unrecognized stock-based compensation cost as of June 30, 2026.</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of June 30, 2026, total compensation cost not yet recognized related to unvested stock options was $76.5</w:t>
      </w:r>
      <w:r>
        <w:rPr>
          <w:rFonts w:ascii="Times New Roman" w:hAnsi="Times New Roman"/>
          <w:color w:val="000000"/>
          <w:sz w:val="20"/>
        </w:rPr>
        <w:t xml:space="preserve"> </w:t>
      </w:r>
      <w:r>
        <w:rPr>
          <w:rFonts w:ascii="sans-serif" w:hAnsi="sans-serif"/>
          <w:color w:val="000000"/>
          <w:sz w:val="20"/>
        </w:rPr>
        <w:t>million, which is expected to be recognized over a weighted-average period of 3.0</w:t>
      </w:r>
      <w:r>
        <w:rPr>
          <w:rFonts w:ascii="Times New Roman" w:hAnsi="Times New Roman"/>
          <w:color w:val="000000"/>
          <w:sz w:val="20"/>
        </w:rPr>
        <w:t xml:space="preserve"> </w:t>
      </w:r>
      <w:r>
        <w:rPr>
          <w:rFonts w:ascii="sans-serif" w:hAnsi="sans-serif"/>
          <w:color w:val="000000"/>
          <w:sz w:val="20"/>
        </w:rPr>
        <w:t>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Restricted stock units</w:t>
      </w:r>
    </w:p>
    <w:p>
      <w:pPr>
        <w:pStyle w:val="TextBody"/>
        <w:bidi w:val="0"/>
        <w:spacing w:before="120" w:after="283"/>
        <w:jc w:val="left"/>
        <w:rPr>
          <w:rFonts w:ascii="sans-serif" w:hAnsi="sans-serif"/>
          <w:color w:val="000000"/>
          <w:sz w:val="20"/>
        </w:rPr>
      </w:pPr>
      <w:r>
        <w:rPr>
          <w:rFonts w:ascii="sans-serif" w:hAnsi="sans-serif"/>
          <w:color w:val="000000"/>
          <w:sz w:val="20"/>
        </w:rPr>
        <w:t>Restricted stock units ("RSUs") are valued at the market price of a share of the Company’s common stock on the date of grant. The following table summarizes RSU activity:</w:t>
      </w:r>
    </w:p>
    <w:p>
      <w:pPr>
        <w:pStyle w:val="TextBody"/>
        <w:bidi w:val="0"/>
        <w:jc w:val="left"/>
        <w:rPr/>
      </w:pPr>
      <w:r>
        <w:rPr/>
        <w:t> </w:t>
      </w:r>
    </w:p>
    <w:tbl>
      <w:tblPr>
        <w:tblW w:w="6321" w:type="dxa"/>
        <w:jc w:val="left"/>
        <w:tblInd w:w="0" w:type="dxa"/>
        <w:tblLayout w:type="fixed"/>
        <w:tblCellMar>
          <w:top w:w="28" w:type="dxa"/>
          <w:left w:w="28" w:type="dxa"/>
          <w:bottom w:w="28" w:type="dxa"/>
          <w:right w:w="28" w:type="dxa"/>
        </w:tblCellMar>
      </w:tblPr>
      <w:tblGrid>
        <w:gridCol w:w="2761"/>
        <w:gridCol w:w="146"/>
        <w:gridCol w:w="152"/>
        <w:gridCol w:w="928"/>
        <w:gridCol w:w="181"/>
        <w:gridCol w:w="146"/>
        <w:gridCol w:w="470"/>
        <w:gridCol w:w="1346"/>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w:t>
              <w:b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Weighted-Average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Unvested -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76,973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329,325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Unvested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362,802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of June 30, 2026, total compensation cost not yet recognized related to unvested RSUs was $9.4</w:t>
      </w:r>
      <w:r>
        <w:rPr>
          <w:rFonts w:ascii="Times New Roman" w:hAnsi="Times New Roman"/>
          <w:color w:val="000000"/>
          <w:sz w:val="20"/>
        </w:rPr>
        <w:t xml:space="preserve"> </w:t>
      </w:r>
      <w:r>
        <w:rPr>
          <w:rFonts w:ascii="sans-serif" w:hAnsi="sans-serif"/>
          <w:color w:val="000000"/>
          <w:sz w:val="20"/>
        </w:rPr>
        <w:t>million, which is expected to be recognized over a weighted-average period of 3.5</w:t>
      </w:r>
      <w:r>
        <w:rPr>
          <w:rFonts w:ascii="Times New Roman" w:hAnsi="Times New Roman"/>
          <w:color w:val="000000"/>
          <w:sz w:val="20"/>
        </w:rPr>
        <w:t xml:space="preserve"> </w:t>
      </w:r>
      <w:r>
        <w:rPr>
          <w:rFonts w:ascii="sans-serif" w:hAnsi="sans-serif"/>
          <w:color w:val="000000"/>
          <w:sz w:val="20"/>
        </w:rPr>
        <w:t>years.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Stock-based compensation expense</w:t>
      </w:r>
    </w:p>
    <w:p>
      <w:pPr>
        <w:pStyle w:val="TextBody"/>
        <w:bidi w:val="0"/>
        <w:spacing w:before="120" w:after="283"/>
        <w:jc w:val="left"/>
        <w:rPr>
          <w:rFonts w:ascii="sans-serif" w:hAnsi="sans-serif"/>
          <w:color w:val="000000"/>
          <w:sz w:val="20"/>
        </w:rPr>
      </w:pPr>
      <w:r>
        <w:rPr>
          <w:rFonts w:ascii="sans-serif" w:hAnsi="sans-serif"/>
          <w:color w:val="000000"/>
          <w:sz w:val="20"/>
        </w:rPr>
        <w:t>The allocation of stock-based compensation expense was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7"/>
        <w:gridCol w:w="146"/>
        <w:gridCol w:w="298"/>
        <w:gridCol w:w="1011"/>
        <w:gridCol w:w="192"/>
        <w:gridCol w:w="192"/>
        <w:gridCol w:w="298"/>
        <w:gridCol w:w="852"/>
        <w:gridCol w:w="146"/>
        <w:gridCol w:w="146"/>
        <w:gridCol w:w="259"/>
        <w:gridCol w:w="879"/>
        <w:gridCol w:w="167"/>
        <w:gridCol w:w="167"/>
        <w:gridCol w:w="259"/>
        <w:gridCol w:w="879"/>
        <w:gridCol w:w="197"/>
      </w:tblGrid>
      <w:tr>
        <w:trPr/>
        <w:tc>
          <w:tcPr>
            <w:tcW w:w="4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13,522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7,281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4,551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7,242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13,915</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21,312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14,523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assumptions used in the Black-Scholes model to determine the fair value of stock option grants and stock purchase rights under the ESPP were as follows:</w:t>
      </w:r>
    </w:p>
    <w:p>
      <w:pPr>
        <w:pStyle w:val="TextBody"/>
        <w:bidi w:val="0"/>
        <w:jc w:val="left"/>
        <w:rPr/>
      </w:pPr>
      <w:r>
        <w:rPr/>
        <w:t> </w:t>
      </w:r>
    </w:p>
    <w:tbl>
      <w:tblPr>
        <w:tblW w:w="5320" w:type="dxa"/>
        <w:jc w:val="left"/>
        <w:tblInd w:w="0" w:type="dxa"/>
        <w:tblLayout w:type="fixed"/>
        <w:tblCellMar>
          <w:top w:w="28" w:type="dxa"/>
          <w:left w:w="28" w:type="dxa"/>
          <w:bottom w:w="28" w:type="dxa"/>
          <w:right w:w="28" w:type="dxa"/>
        </w:tblCellMar>
      </w:tblPr>
      <w:tblGrid>
        <w:gridCol w:w="2461"/>
        <w:gridCol w:w="146"/>
        <w:gridCol w:w="1261"/>
        <w:gridCol w:w="146"/>
        <w:gridCol w:w="130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5.5</w:t>
            </w:r>
            <w:r>
              <w:rPr>
                <w:rFonts w:ascii="Times New Roman" w:hAnsi="Times New Roman"/>
                <w:color w:val="000000"/>
                <w:sz w:val="20"/>
              </w:rPr>
              <w:t> </w:t>
            </w:r>
            <w:r>
              <w:rPr>
                <w:rFonts w:ascii="sans-serif" w:hAnsi="sans-serif"/>
                <w:color w:val="000000"/>
                <w:sz w:val="20"/>
              </w:rPr>
              <w:t>- 6.5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5.3</w:t>
            </w:r>
            <w:r>
              <w:rPr>
                <w:rFonts w:ascii="Times New Roman" w:hAnsi="Times New Roman"/>
                <w:color w:val="000000"/>
                <w:sz w:val="20"/>
              </w:rPr>
              <w:t> </w:t>
            </w:r>
            <w:r>
              <w:rPr>
                <w:rFonts w:ascii="sans-serif" w:hAnsi="sans-serif"/>
                <w:color w:val="000000"/>
                <w:sz w:val="20"/>
              </w:rPr>
              <w:t>- 6.1</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 - 82%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81%</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3.8%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4.0% - 4.5%</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sans-serif" w:hAnsi="sans-serif"/>
                <w:color w:val="000000"/>
                <w:sz w:val="20"/>
              </w:rPr>
              <w:t>%</w:t>
            </w:r>
          </w:p>
        </w:tc>
      </w:tr>
    </w:tbl>
    <w:p>
      <w:pPr>
        <w:pStyle w:val="TextBody"/>
        <w:bidi w:val="0"/>
        <w:jc w:val="left"/>
        <w:rPr/>
      </w:pPr>
      <w:r>
        <w:rPr/>
        <w:t> </w:t>
      </w:r>
    </w:p>
    <w:tbl>
      <w:tblPr>
        <w:tblW w:w="5277" w:type="dxa"/>
        <w:jc w:val="left"/>
        <w:tblInd w:w="0" w:type="dxa"/>
        <w:tblLayout w:type="fixed"/>
        <w:tblCellMar>
          <w:top w:w="28" w:type="dxa"/>
          <w:left w:w="28" w:type="dxa"/>
          <w:bottom w:w="28" w:type="dxa"/>
          <w:right w:w="28" w:type="dxa"/>
        </w:tblCellMar>
      </w:tblPr>
      <w:tblGrid>
        <w:gridCol w:w="2461"/>
        <w:gridCol w:w="146"/>
        <w:gridCol w:w="1148"/>
        <w:gridCol w:w="286"/>
        <w:gridCol w:w="123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0.5</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72%</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4.3%</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sans-serif" w:hAnsi="sans-serif"/>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11. Segment Information</w:t>
      </w:r>
    </w:p>
    <w:p>
      <w:pPr>
        <w:pStyle w:val="TextBody"/>
        <w:bidi w:val="0"/>
        <w:spacing w:before="120" w:after="283"/>
        <w:jc w:val="left"/>
        <w:rPr>
          <w:rFonts w:ascii="sans-serif" w:hAnsi="sans-serif"/>
          <w:color w:val="000000"/>
          <w:sz w:val="20"/>
        </w:rPr>
      </w:pPr>
      <w:r>
        <w:rPr>
          <w:rFonts w:ascii="sans-serif" w:hAnsi="sans-serif"/>
          <w:color w:val="000000"/>
          <w:sz w:val="20"/>
        </w:rPr>
        <w:t>Segment financial information used by the CODM to assess segment performance and make decisions about resource allocation was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54"/>
        <w:gridCol w:w="146"/>
        <w:gridCol w:w="256"/>
        <w:gridCol w:w="954"/>
        <w:gridCol w:w="204"/>
        <w:gridCol w:w="165"/>
        <w:gridCol w:w="256"/>
        <w:gridCol w:w="954"/>
        <w:gridCol w:w="181"/>
        <w:gridCol w:w="146"/>
        <w:gridCol w:w="238"/>
        <w:gridCol w:w="886"/>
        <w:gridCol w:w="190"/>
        <w:gridCol w:w="153"/>
        <w:gridCol w:w="238"/>
        <w:gridCol w:w="886"/>
        <w:gridCol w:w="398"/>
      </w:tblGrid>
      <w:tr>
        <w:trPr/>
        <w:tc>
          <w:tcPr>
            <w:tcW w:w="3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ELVN-001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8,315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16,097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10,978</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ELVN-002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11,640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 xml:space="preserve">Other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4,034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6,587</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9,879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7,281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 xml:space="preserve">Facilities, laboratory supplies and other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1,378</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28,996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49,683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46,386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4,551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7,242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 xml:space="preserve">Other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3,498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3,899</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8,213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15,349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13,891</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65,032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60,277</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4,724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6,398</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(32,485</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(56,112</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(53,879</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Other external research and development costs primarily represent contract research, preclinical studies and manufacturing costs that are not related to ELVN-001 and ELVN-002, as well as general consulting costs.</w:t>
      </w:r>
    </w:p>
    <w:p>
      <w:pPr>
        <w:pStyle w:val="TextBody"/>
        <w:bidi w:val="0"/>
        <w:jc w:val="left"/>
        <w:rPr>
          <w:rFonts w:ascii="Times New Roman" w:hAnsi="Times New Roman"/>
          <w:sz w:val="20"/>
        </w:rPr>
      </w:pPr>
      <w:r>
        <w:rPr>
          <w:rFonts w:ascii="sans-serif" w:hAnsi="sans-serif"/>
          <w:color w:val="000000"/>
          <w:sz w:val="13"/>
        </w:rPr>
        <w:t>(2)</w:t>
      </w:r>
      <w:r>
        <w:rPr>
          <w:rFonts w:ascii="Times New Roman" w:hAnsi="Times New Roman"/>
          <w:color w:val="000000"/>
          <w:sz w:val="20"/>
        </w:rPr>
        <w:t xml:space="preserve"> </w:t>
      </w:r>
      <w:r>
        <w:rPr>
          <w:rFonts w:ascii="sans-serif" w:hAnsi="sans-serif"/>
          <w:color w:val="000000"/>
          <w:sz w:val="20"/>
        </w:rPr>
        <w:t>Other internal research and development costs primarily represent travel, expensed software and depreciation.</w:t>
      </w:r>
    </w:p>
    <w:p>
      <w:pPr>
        <w:pStyle w:val="TextBody"/>
        <w:bidi w:val="0"/>
        <w:jc w:val="left"/>
        <w:rPr>
          <w:rFonts w:ascii="Times New Roman" w:hAnsi="Times New Roman"/>
          <w:sz w:val="20"/>
        </w:rPr>
      </w:pPr>
      <w:r>
        <w:rPr>
          <w:rFonts w:ascii="sans-serif" w:hAnsi="sans-serif"/>
          <w:color w:val="000000"/>
          <w:sz w:val="13"/>
        </w:rPr>
        <w:t>(3)</w:t>
      </w:r>
      <w:r>
        <w:rPr>
          <w:rFonts w:ascii="Times New Roman" w:hAnsi="Times New Roman"/>
          <w:color w:val="000000"/>
          <w:sz w:val="20"/>
        </w:rPr>
        <w:t xml:space="preserve"> </w:t>
      </w:r>
      <w:r>
        <w:rPr>
          <w:rFonts w:ascii="sans-serif" w:hAnsi="sans-serif"/>
          <w:color w:val="000000"/>
          <w:sz w:val="20"/>
        </w:rPr>
        <w:t>Other general and administrative costs primarily represent insurance, professional fees, expensed software, taxes and travel.</w:t>
      </w:r>
    </w:p>
    <w:p>
      <w:pPr>
        <w:pStyle w:val="TextBody"/>
        <w:bidi w:val="0"/>
        <w:jc w:val="left"/>
        <w:rPr>
          <w:rFonts w:ascii="sans-serif" w:hAnsi="sans-serif"/>
          <w:b/>
          <w:color w:val="000000"/>
          <w:sz w:val="20"/>
        </w:rPr>
      </w:pPr>
      <w:r>
        <w:rPr>
          <w:rFonts w:ascii="sans-serif" w:hAnsi="sans-serif"/>
          <w:b/>
          <w:color w:val="000000"/>
          <w:sz w:val="20"/>
        </w:rPr>
        <w:t>12. Net Loss Per Share</w:t>
      </w:r>
    </w:p>
    <w:p>
      <w:pPr>
        <w:pStyle w:val="TextBody"/>
        <w:bidi w:val="0"/>
        <w:spacing w:before="120" w:after="283"/>
        <w:jc w:val="left"/>
        <w:rPr>
          <w:rFonts w:ascii="sans-serif" w:hAnsi="sans-serif"/>
          <w:color w:val="000000"/>
          <w:sz w:val="20"/>
        </w:rPr>
      </w:pPr>
      <w:r>
        <w:rPr>
          <w:rFonts w:ascii="sans-serif" w:hAnsi="sans-serif"/>
          <w:color w:val="000000"/>
          <w:sz w:val="20"/>
        </w:rPr>
        <w:t>Basic and diluted net loss per common share were calculated as follows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9"/>
        <w:gridCol w:w="146"/>
        <w:gridCol w:w="226"/>
        <w:gridCol w:w="1186"/>
        <w:gridCol w:w="181"/>
        <w:gridCol w:w="146"/>
        <w:gridCol w:w="226"/>
        <w:gridCol w:w="1186"/>
        <w:gridCol w:w="181"/>
        <w:gridCol w:w="146"/>
        <w:gridCol w:w="226"/>
        <w:gridCol w:w="1186"/>
        <w:gridCol w:w="181"/>
        <w:gridCol w:w="146"/>
        <w:gridCol w:w="226"/>
        <w:gridCol w:w="1186"/>
        <w:gridCol w:w="591"/>
      </w:tblGrid>
      <w:tr>
        <w:trPr/>
        <w:tc>
          <w:tcPr>
            <w:tcW w:w="2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(56,112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(53,879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Weighted-average common shares outstanding (including vested and unvested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66,171,581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52,109,257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64,494,769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51,091,218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Less: weighted-average unvested common stock issued upon early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used to compute 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66,171,581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52,105,052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64,494,769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51,083,841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Outstanding pre-funded warrants to purchase 4,585,101</w:t>
      </w:r>
      <w:r>
        <w:rPr>
          <w:rFonts w:ascii="Times New Roman" w:hAnsi="Times New Roman"/>
          <w:color w:val="000000"/>
          <w:sz w:val="20"/>
        </w:rPr>
        <w:t xml:space="preserve"> </w:t>
      </w:r>
      <w:r>
        <w:rPr>
          <w:rFonts w:ascii="sans-serif" w:hAnsi="sans-serif"/>
          <w:color w:val="000000"/>
          <w:sz w:val="20"/>
        </w:rPr>
        <w:t>and 2,851,768</w:t>
      </w:r>
      <w:r>
        <w:rPr>
          <w:rFonts w:ascii="Times New Roman" w:hAnsi="Times New Roman"/>
          <w:color w:val="000000"/>
          <w:sz w:val="20"/>
        </w:rPr>
        <w:t xml:space="preserve"> </w:t>
      </w:r>
      <w:r>
        <w:rPr>
          <w:rFonts w:ascii="sans-serif" w:hAnsi="sans-serif"/>
          <w:color w:val="000000"/>
          <w:sz w:val="20"/>
        </w:rPr>
        <w:t>shares of the Company's common stock as of June 30, 2026 and 2025, respectively, were used in the calculation of the weighted-average common shares outstanding for the corresponding periods presented above.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Company’s potentially dilutive securities have been excluded from the computation of diluted net loss per share as the effect would be anti-dilutive. Therefore, the weighted-average number of common shares outstanding used to calculate both basic and diluted net loss per share is the same. The following potentially dilutive securities, presented on an as converted basis, were excluded from the calculation of net loss per share due to their anti-dilutive effect:</w:t>
      </w:r>
    </w:p>
    <w:p>
      <w:pPr>
        <w:pStyle w:val="TextBody"/>
        <w:bidi w:val="0"/>
        <w:jc w:val="left"/>
        <w:rPr/>
      </w:pPr>
      <w:r>
        <w:rPr/>
        <w:t> </w:t>
      </w:r>
    </w:p>
    <w:tbl>
      <w:tblPr>
        <w:tblW w:w="6219" w:type="dxa"/>
        <w:jc w:val="left"/>
        <w:tblInd w:w="0" w:type="dxa"/>
        <w:tblLayout w:type="fixed"/>
        <w:tblCellMar>
          <w:top w:w="28" w:type="dxa"/>
          <w:left w:w="28" w:type="dxa"/>
          <w:bottom w:w="28" w:type="dxa"/>
          <w:right w:w="28" w:type="dxa"/>
        </w:tblCellMar>
      </w:tblPr>
      <w:tblGrid>
        <w:gridCol w:w="3166"/>
        <w:gridCol w:w="146"/>
        <w:gridCol w:w="146"/>
        <w:gridCol w:w="1066"/>
        <w:gridCol w:w="146"/>
        <w:gridCol w:w="146"/>
        <w:gridCol w:w="146"/>
        <w:gridCol w:w="106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7,956,284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9,487,212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90,185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ESPP shares pending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8,320,563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9,579,976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bookmarkStart w:id="12" w:name="item_7_managements_discussion_analysis_f"/>
      <w:bookmarkEnd w:id="12"/>
      <w:r>
        <w:rPr>
          <w:rFonts w:ascii="sans-serif" w:hAnsi="sans-serif"/>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sans-serif" w:hAnsi="sans-serif"/>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on Form 10-Q.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quarterly report on Form 10-Q.</w:t>
      </w:r>
      <w:r>
        <w:rPr>
          <w:rFonts w:ascii="Times New Roman" w:hAnsi="Times New Roman"/>
          <w:color w:val="000000"/>
          <w:sz w:val="20"/>
        </w:rPr>
        <w:t xml:space="preserve"> </w:t>
      </w:r>
    </w:p>
    <w:p>
      <w:pPr>
        <w:pStyle w:val="TextBody"/>
        <w:bidi w:val="0"/>
        <w:jc w:val="left"/>
        <w:rPr/>
      </w:pPr>
      <w:bookmarkStart w:id="13" w:name="tx401639_151"/>
      <w:bookmarkEnd w:id="13"/>
      <w:r>
        <w:rPr/>
        <w:t> </w:t>
      </w:r>
    </w:p>
    <w:p>
      <w:pPr>
        <w:pStyle w:val="TextBody"/>
        <w:bidi w:val="0"/>
        <w:jc w:val="left"/>
        <w:rPr>
          <w:rFonts w:ascii="sans-serif" w:hAnsi="sans-serif"/>
          <w:b/>
          <w:color w:val="000000"/>
          <w:sz w:val="20"/>
        </w:rPr>
      </w:pPr>
      <w:r>
        <w:rPr>
          <w:rFonts w:ascii="sans-serif" w:hAnsi="sans-serif"/>
          <w:b/>
          <w:color w:val="000000"/>
          <w:sz w:val="20"/>
        </w:rPr>
        <w:t>Overview</w:t>
      </w:r>
    </w:p>
    <w:p>
      <w:pPr>
        <w:pStyle w:val="TextBody"/>
        <w:bidi w:val="0"/>
        <w:spacing w:before="120" w:after="283"/>
        <w:jc w:val="left"/>
        <w:rPr>
          <w:rFonts w:ascii="sans-serif" w:hAnsi="sans-serif"/>
          <w:color w:val="000000"/>
          <w:sz w:val="20"/>
        </w:rPr>
      </w:pPr>
      <w:r>
        <w:rPr>
          <w:rFonts w:ascii="sans-serif" w:hAnsi="sans-serif"/>
          <w:color w:val="000000"/>
          <w:sz w:val="20"/>
        </w:rPr>
        <w:t>We are a clinical-stage biopharmaceutical company focused on the discovery and development of small molecule therapeutics to help people not only live longer, but live better. We aim to address existing and emerging unmet needs with a precision medicine approach that improves survival and enhances overall well-being. Our discovery process combines deep insights into clinically validated biological targets and differentiated chemistry with the goal of designing therapies for unmet needs. By combining clinically validated targets and specific target product profiles with disciplined clinical trial design and regulatory strategy, we aim to develop drugs that address unmet needs with an increased probability of clinical and commercial success. Validated targets are those whose role in disease pathology have been demonstrated by mechanistic and clinical studies. We are currently advancing ELVN-001, including preparations for our planned ELVN-001 pivotal trial, as well as pursuing additional research-stage opportunities that align with our small molecule development approach. To prioritize the advancement of ELVN-001 and its upcoming pivotal trial, we are exploring strategic alternatives for the ELVN-002 program and are no longer pursuing its development.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following table summarizes our clinical programs:</w:t>
      </w:r>
    </w:p>
    <w:p>
      <w:pPr>
        <w:pStyle w:val="TextBody"/>
        <w:bidi w:val="0"/>
        <w:jc w:val="left"/>
        <w:rPr/>
      </w:pPr>
      <w:r>
        <w:rPr/>
        <w:t> </w:t>
      </w:r>
    </w:p>
    <w:p>
      <w:pPr>
        <w:pStyle w:val="TextBody"/>
        <w:bidi w:val="0"/>
        <w:jc w:val="center"/>
        <w:rPr/>
      </w:pPr>
      <w:r>
        <w:rPr/>
        <w:drawing>
          <wp:inline distT="0" distB="0" distL="0" distR="0">
            <wp:extent cx="6858000" cy="1466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46685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Enliven Inc. (formerly, Enliven Therapeutics, Inc.) (“Former Enliven”) was incorporated in the State of Delaware in June 2019, and we are headquartered in Burlingame, California. We devote substantially all of our resources to research and development activities of our breakpoint cluster region – Abelson (“BCR-ABL”) program and our other programs, business planning, establishing and maintaining our intellectual property portfolio, hiring personnel, raising capital, and providing general and administrative support for these activities.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do not own or operate, and currently have no plans to establish, any manufacturing facilities. We rely, and expect to continue to rely, on third parties for the manufacture of our product candidates for clinical and preclinical testing, as well as for commercial manufacturing, should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Former Enliven funded its operations primarily through private placements of its convertible preferred stock and sale of common stock, raising aggregate gross proceeds of $140.5 million from these private placements and an aggregate of $164.5 million in gross proceeds from the sale of common stock in the Former Enliven pre-closing financing (the “Financing Transaction”). In March 2024, we sold in a private placement (the "Private Placement") common stock and pre-funded warrants to purchase shares of our common stock, resulting in aggregate gross proceeds of $90.0 million. In June 2025, we completed an underwritten public offering (the "2025 Public Offering") where we sold common stock and pre-funded warrants to purchase shares of our common stock, resulting in aggregate gross proceeds of $230.0 million. In June 2026, we completed an underwritten public offering (the "2026 Public Offering") where we sold common stock and pre-funded warrants to purchase shares of our common stock, resulting in aggregate gross proceeds of $460.0 million. Through June 30, 2026, we have sold shares of our common stock pursuant to the Sales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Agreement (as defined below) and received gross proceeds of $40.0 million. As of June 30, 2026, we had cash, cash equivalents and marketable securities of $895.2 million. Based on our current operating plan, which includes the continued advancement of ELVN-001 and preparations for our planned pivotal trial, our existing cash, cash equivalents and marketable securities will be sufficient to fund our planned operating expenses and capital expenditure requirements for at least the next 12 months from the date of the filing of this Form 10-Q.</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As of June 30, 2026, we had an accumulated deficit of $403.3 million. We have incurred significant losses and negative cash flows from operations since inception, including net losses of $103.7 million and $89.0 million for the years ended December 31, 2025 and 2024, respectively, and $56.1 million for the six months ended June 30, 2026. We expect that our operating losses and negative operating cash flows will continue for the foreseeable future as we continue to develop our product candidates.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Our net losses may fluctuate significantly from quarter-to-quarter and year-to-year, depending on a variety of factors including the timing and scope of our research and development activities. We expect our expenses and capital requirements will increase substantially in connection with our ongoing activities,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 our BCR-ABL program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make changes to our clinical development plan for ELVN-001;</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 any other product candidates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 the development of our other small molecule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expand our pipeline of product candidates through our own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develop any required companion diagnostic;</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establish a sales, marketing, medical and distribution infrastructure to commercialize any approved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contract to manufacture any clinical product candidates as well as approved product candidates; for example, we expect to manufacture certain of our product candidates in additional countries including countries in Europe, which may increase the cost of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contract for supplies and drug product for use in potential combination studies or in comparator arms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expand our clinical, scientific, management and administrative teams;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maintain, expand, protect and enforce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implement operational, financial and management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operate as a public company.</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do not have any products approved for commercial sale, and we have not generated any revenue from product sales or other sources. Our ability to generate product revenue sufficient to achieve and maintain profitability will depend upon the successful development and eventual commercialization of one or more of our product candidates, which we expect, if it ever occurs, will take many years. We will therefore require substantial additional capital to develop our product candidates and support our continuing operations. Accordingly, until such time that we can generate a sufficient amount of revenue from product sales, companion diagnostics or other sources, if ever, we expect to finance our operations through equity or debt financings, loans or other capital sources, which could include income from collaborations, partnerships or other marketing, distribution, licensing or other strategic arrangements with third parties, or from grants. However, we may be unable to raise additional capital from these sources on favorable terms, or at all. Our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We cannot provide assurance that we will ever generate positive cash flow from operating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The Merger</w:t>
      </w:r>
    </w:p>
    <w:p>
      <w:pPr>
        <w:pStyle w:val="TextBody"/>
        <w:bidi w:val="0"/>
        <w:spacing w:before="120" w:after="283"/>
        <w:jc w:val="left"/>
        <w:rPr>
          <w:rFonts w:ascii="sans-serif" w:hAnsi="sans-serif"/>
          <w:color w:val="000000"/>
          <w:sz w:val="20"/>
        </w:rPr>
      </w:pPr>
      <w:r>
        <w:rPr>
          <w:rFonts w:ascii="sans-serif" w:hAnsi="sans-serif"/>
          <w:color w:val="000000"/>
          <w:sz w:val="20"/>
        </w:rPr>
        <w:t>On October 13, 2022, we entered into an agreement and plan of merger ("Merger Agreement" and such transactions considered by the Merger Agreement, the "Merger") with Former Enliven and Iguana Merger Sub, Inc. ("Merger Sub"). Pursuant to the Merger Agreement, Merger Sub merged with and into Former Enliven, with Former Enliven continuing as our wholly owned subsidiary and the surviving corporation of the Merger. Immediately following the Merger, we changed our name to Enliven Therapeutics, Inc.</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Macroeconomic and Geopolitical Developments</w:t>
      </w:r>
    </w:p>
    <w:p>
      <w:pPr>
        <w:pStyle w:val="TextBody"/>
        <w:bidi w:val="0"/>
        <w:spacing w:before="120" w:after="283"/>
        <w:jc w:val="left"/>
        <w:rPr>
          <w:rFonts w:ascii="sans-serif" w:hAnsi="sans-serif"/>
          <w:color w:val="000000"/>
          <w:sz w:val="20"/>
        </w:rPr>
      </w:pPr>
      <w:r>
        <w:rPr>
          <w:rFonts w:ascii="sans-serif" w:hAnsi="sans-serif"/>
          <w:color w:val="000000"/>
          <w:sz w:val="20"/>
        </w:rPr>
        <w:t>We are monitoring macroeconomic and geopolitical developments, such as conditions and risks related to government shutdowns, inflation, instability in the banking and financial sector, tightening of the credit markets, the Russia-Ukraine conflict, conflicts in the Middle East (including the Iran conflict), the imposition of various sanctions and tariffs by the United States or other countries, public health emergencies/epidemics, and changes in government administration policy positions, so that we may be prepared to react to new developments as they arise.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extent of the impact of these developments on our business, operations and research and development timelines and plans remains uncertain and will depend on numerous factors, including the impact, if any, on our personnel, the responses of governmental entities, and the responses of third parties, such as contract research organizations (“CROs”), contract manufacturing organizations (“CMOs”) and other third parties with whom we do business. Any prolonged material disruption to our employees or suppliers could adversely impact our development activities, financial condition and results of operations, including our ability to obtain financing. For more information regarding the risks related to macroeconomic and geopolitical developments, see the section titled “</w:t>
      </w:r>
      <w:r>
        <w:rPr>
          <w:rFonts w:ascii="sans-serif" w:hAnsi="sans-serif"/>
          <w:i/>
          <w:color w:val="000000"/>
          <w:sz w:val="20"/>
        </w:rPr>
        <w:t>Risk Factors</w:t>
      </w:r>
      <w:r>
        <w:rPr>
          <w:rFonts w:ascii="Times New Roman" w:hAnsi="Times New Roman"/>
          <w:color w:val="000000"/>
          <w:sz w:val="20"/>
        </w:rPr>
        <w:t xml:space="preserve">” </w:t>
      </w:r>
      <w:r>
        <w:rPr>
          <w:rFonts w:ascii="sans-serif" w:hAnsi="sans-serif"/>
          <w:color w:val="000000"/>
          <w:sz w:val="20"/>
        </w:rPr>
        <w:t>found elsewhere in this quarterly report on Form 10-Q.</w:t>
      </w:r>
    </w:p>
    <w:p>
      <w:pPr>
        <w:pStyle w:val="TextBody"/>
        <w:bidi w:val="0"/>
        <w:jc w:val="left"/>
        <w:rPr/>
      </w:pPr>
      <w:bookmarkStart w:id="14" w:name="tx401639_153"/>
      <w:bookmarkEnd w:id="14"/>
      <w:r>
        <w:rPr/>
        <w:t> </w:t>
      </w:r>
    </w:p>
    <w:p>
      <w:pPr>
        <w:pStyle w:val="TextBody"/>
        <w:bidi w:val="0"/>
        <w:jc w:val="left"/>
        <w:rPr>
          <w:rFonts w:ascii="sans-serif" w:hAnsi="sans-serif"/>
          <w:b/>
          <w:color w:val="000000"/>
          <w:sz w:val="20"/>
        </w:rPr>
      </w:pPr>
      <w:r>
        <w:rPr>
          <w:rFonts w:ascii="sans-serif" w:hAnsi="sans-serif"/>
          <w:b/>
          <w:color w:val="000000"/>
          <w:sz w:val="20"/>
        </w:rPr>
        <w:t>Components of Our Results of Operations</w:t>
      </w:r>
    </w:p>
    <w:p>
      <w:pPr>
        <w:pStyle w:val="TextBody"/>
        <w:bidi w:val="0"/>
        <w:spacing w:before="120" w:after="283"/>
        <w:jc w:val="left"/>
        <w:rPr>
          <w:rFonts w:ascii="sans-serif" w:hAnsi="sans-serif"/>
          <w:b/>
          <w:i/>
          <w:color w:val="000000"/>
          <w:sz w:val="20"/>
        </w:rPr>
      </w:pPr>
      <w:r>
        <w:rPr>
          <w:rFonts w:ascii="sans-serif" w:hAnsi="sans-serif"/>
          <w:b/>
          <w:i/>
          <w:color w:val="000000"/>
          <w:sz w:val="20"/>
        </w:rPr>
        <w:t>Revenue</w:t>
      </w:r>
    </w:p>
    <w:p>
      <w:pPr>
        <w:pStyle w:val="TextBody"/>
        <w:bidi w:val="0"/>
        <w:spacing w:before="120" w:after="283"/>
        <w:jc w:val="left"/>
        <w:rPr>
          <w:rFonts w:ascii="sans-serif" w:hAnsi="sans-serif"/>
          <w:color w:val="000000"/>
          <w:sz w:val="20"/>
        </w:rPr>
      </w:pPr>
      <w:r>
        <w:rPr>
          <w:rFonts w:ascii="sans-serif" w:hAnsi="sans-serif"/>
          <w:color w:val="000000"/>
          <w:sz w:val="20"/>
        </w:rPr>
        <w:t>To date, we have not generated any revenue and we do not expect to generate any revenue from the sale of products or from other sources in the foreseeable future.</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Operating Expenses</w:t>
      </w:r>
    </w:p>
    <w:p>
      <w:pPr>
        <w:pStyle w:val="TextBody"/>
        <w:bidi w:val="0"/>
        <w:spacing w:before="120" w:after="283"/>
        <w:jc w:val="left"/>
        <w:rPr>
          <w:rFonts w:ascii="sans-serif" w:hAnsi="sans-serif"/>
          <w:i/>
          <w:color w:val="000000"/>
          <w:sz w:val="20"/>
        </w:rPr>
      </w:pPr>
      <w:r>
        <w:rPr>
          <w:rFonts w:ascii="sans-serif" w:hAnsi="sans-serif"/>
          <w:i/>
          <w:color w:val="000000"/>
          <w:sz w:val="20"/>
        </w:rPr>
        <w:t>Research and Development</w:t>
      </w:r>
    </w:p>
    <w:p>
      <w:pPr>
        <w:pStyle w:val="TextBody"/>
        <w:bidi w:val="0"/>
        <w:spacing w:before="120" w:after="283"/>
        <w:jc w:val="left"/>
        <w:rPr>
          <w:rFonts w:ascii="sans-serif" w:hAnsi="sans-serif"/>
          <w:color w:val="000000"/>
          <w:sz w:val="20"/>
        </w:rPr>
      </w:pPr>
      <w:r>
        <w:rPr>
          <w:rFonts w:ascii="sans-serif" w:hAnsi="sans-serif"/>
          <w:color w:val="000000"/>
          <w:sz w:val="20"/>
        </w:rPr>
        <w:t>Research and development expenses account for a significant portion of our operating expenses and consist primarily of external and internal expenses incurred in connection with the discovery and development of our product candidates.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External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payments to third parties in connection with the development of our product candidates, including agreements with third parties such as CROs, CMOs and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cost of manufacturing products for use in our clinical trials and preclinical studies, including payments to CMOs and consultants;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 to acquire drug product for use in combination studies and for comparator arms of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payments to third parties in connection with the preclinical development of our product candidates and any required companion diagnostic, including for outsourced professional scientific development services, consulting research and sponsored research.</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Internal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personnel-related costs, including salaries, bonuses, related benefits and stock-based compensation expenses for employees engaged in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facilities-related expenses, depreciation, laboratory supplies, travel expenses and other allocated expenses.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expense research and development expenses in the periods in which they are incurred. At any one time, we are working on multiple programs. Our internal resources, employees and infrastructure are not directly tied to any one research or drug discovery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program and are typically deployed across multiple programs. External expenses are recognized based on an evaluation of the progress to completion of specific tasks using information provided to us by our service providers or our estimate of the level of service that has been performed at each reporting date. We utilize CROs for our research and development activities and CMOs for our manufacturing activities, and we do not have our own manufacturing facilities.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Product candidates in later stages of development generally have higher development costs than those in earlier stages.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expand, maintain, protect and enforce our intellectual property portfolio, and hire additional research and development personnel.</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The duration, costs and timing of preclinical studies and clinical trials and development of our product candidates are subject to numerous uncertainties and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number and scope of preclinical and clinical programs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ability to establish a sufficient safety profile with IND-enabling toxicology studies to enable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successful patient recruitment, enrollment in, and the initiation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per subject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number and extent of trials required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whether clinical trials with combination drugs are pursued;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comparator arms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length of time required to enroll eligible subjects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number of subjects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drop-out and discontinuation rate of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potential additional safety monitoring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duration of subject participation in the trials and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extent to which we encounter any serious adverse events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of 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receipt and terms of any marketing approvals and post-marketing approval commitments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extent to which we establish collaborations, strategic partnerships or other strategic arrangements with third parties, if any, and the performance of any such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and progress of development of any required companion diagnostic;</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ability to acquire drug supply for any products, the cost of such drug supply, and any delays in connection with obtaining such drug supply;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adverse effects of tariffs and trade restrictions, including increased supply chain costs or inability to obtain inputs;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hiring and retaining research and development and clinical operations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arrangements with our CMOs and CROs, including transitioning from existing CMOs to CMOs in additional countries, including countries in Europe;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patient recruitment and enrollment, which could be delayed due to the approval of new drugs for the same indications that may compete with our product candidates during clinical trials, for example, Scemblix (asciminib), which may lead to reduced market acceptance of our product candidates if our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development and timely delivery of commercial-grade drug formulations that can be used in our planned clinical trials and for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impact of any business interruptions to our operations or to those of the third parties with whom we work, including due to any government shutdowns, public health emergency, health epidemic (including COVID-19) or other outbreaks, natural disasters, or other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impact of any supply chain disruptions resulting from macroeconomic or geopolitical situations, including due to any public health emergency, health epidemic (including COVID-19) or other outbreaks, the Russia-Ukraine conflict, conflicts in the Middle East (including the Iran conflict), national security concerns and related legislation related to business operations in China and other countries and changes in government administration policy positions as a result of the current presidential administration;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obtaining, maintaining, defending and enforcing patent claims and other intellectual property rights.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Any of these factors could significantly impact the costs, timing and viability associated with the development of our product candidates.</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General and Administrative</w:t>
      </w:r>
    </w:p>
    <w:p>
      <w:pPr>
        <w:pStyle w:val="TextBody"/>
        <w:bidi w:val="0"/>
        <w:spacing w:before="120" w:after="283"/>
        <w:jc w:val="left"/>
        <w:rPr>
          <w:rFonts w:ascii="sans-serif" w:hAnsi="sans-serif"/>
          <w:color w:val="000000"/>
          <w:sz w:val="20"/>
        </w:rPr>
      </w:pPr>
      <w:r>
        <w:rPr>
          <w:rFonts w:ascii="sans-serif" w:hAnsi="sans-serif"/>
          <w:color w:val="000000"/>
          <w:sz w:val="20"/>
        </w:rPr>
        <w:t>General and administrative expenses consist of salaries, bonuses, related benefits and stock-based compensation expense for personnel in executive, finance and administrative functions; professional fees for legal, consulting, accounting and audit services; and travel expenses, technology costs and other allocated expenses. We expense general and administrative expenses in the periods in which they are incurred.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expect that our general and administrative expenses will increase substantially over the next several years as we hire additional personnel to support the growth of our business. In addition, we expect to continue to incur significant expenses associated with being a public company, including expenses related to accounting, audit, legal, regulatory, public company reporting and compliance, director and officer insurance, investor and public relations, and other administrative and professional services.</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Other Income (Expense), Net</w:t>
      </w:r>
    </w:p>
    <w:p>
      <w:pPr>
        <w:pStyle w:val="TextBody"/>
        <w:bidi w:val="0"/>
        <w:spacing w:before="120" w:after="283"/>
        <w:jc w:val="left"/>
        <w:rPr>
          <w:rFonts w:ascii="sans-serif" w:hAnsi="sans-serif"/>
          <w:color w:val="000000"/>
          <w:sz w:val="20"/>
        </w:rPr>
      </w:pPr>
      <w:r>
        <w:rPr>
          <w:rFonts w:ascii="sans-serif" w:hAnsi="sans-serif"/>
          <w:color w:val="000000"/>
          <w:sz w:val="20"/>
        </w:rPr>
        <w:t>Other income (expense), net primarily consists of interest earned on our cash, cash equivalents and marketable securities.</w:t>
      </w:r>
    </w:p>
    <w:p>
      <w:pPr>
        <w:pStyle w:val="TextBody"/>
        <w:bidi w:val="0"/>
        <w:jc w:val="left"/>
        <w:rPr/>
      </w:pPr>
      <w:r>
        <w:rPr/>
        <w:t> </w:t>
      </w:r>
    </w:p>
    <w:p>
      <w:pPr>
        <w:pStyle w:val="TextBody"/>
        <w:bidi w:val="0"/>
        <w:jc w:val="left"/>
        <w:rPr>
          <w:rFonts w:ascii="sans-serif" w:hAnsi="sans-serif"/>
          <w:b/>
          <w:color w:val="000000"/>
          <w:sz w:val="20"/>
        </w:rPr>
      </w:pPr>
      <w:bookmarkStart w:id="15" w:name="tx401639_154"/>
      <w:bookmarkEnd w:id="15"/>
      <w:r>
        <w:rPr>
          <w:rFonts w:ascii="sans-serif" w:hAnsi="sans-serif"/>
          <w:b/>
          <w:color w:val="000000"/>
          <w:sz w:val="20"/>
        </w:rPr>
        <w:t>Results of Operations</w:t>
      </w:r>
    </w:p>
    <w:p>
      <w:pPr>
        <w:pStyle w:val="TextBody"/>
        <w:bidi w:val="0"/>
        <w:spacing w:before="120" w:after="283"/>
        <w:jc w:val="left"/>
        <w:rPr>
          <w:rFonts w:ascii="sans-serif" w:hAnsi="sans-serif"/>
          <w:b/>
          <w:i/>
          <w:color w:val="000000"/>
          <w:sz w:val="20"/>
        </w:rPr>
      </w:pPr>
      <w:r>
        <w:rPr>
          <w:rFonts w:ascii="sans-serif" w:hAnsi="sans-serif"/>
          <w:b/>
          <w:i/>
          <w:color w:val="000000"/>
          <w:sz w:val="20"/>
        </w:rPr>
        <w:t>Comparison of the three months ended June 30, 2026 and 2025</w:t>
      </w:r>
    </w:p>
    <w:p>
      <w:pPr>
        <w:pStyle w:val="TextBody"/>
        <w:bidi w:val="0"/>
        <w:spacing w:before="120" w:after="283"/>
        <w:jc w:val="left"/>
        <w:rPr>
          <w:rFonts w:ascii="sans-serif" w:hAnsi="sans-serif"/>
          <w:color w:val="000000"/>
          <w:sz w:val="20"/>
        </w:rPr>
      </w:pPr>
      <w:r>
        <w:rPr>
          <w:rFonts w:ascii="sans-serif" w:hAnsi="sans-serif"/>
          <w:color w:val="000000"/>
          <w:sz w:val="20"/>
        </w:rPr>
        <w:t>The following table summarizes our results of operations for the periods indicated:</w:t>
      </w:r>
    </w:p>
    <w:p>
      <w:pPr>
        <w:pStyle w:val="TextBody"/>
        <w:bidi w:val="0"/>
        <w:jc w:val="left"/>
        <w:rPr/>
      </w:pPr>
      <w:r>
        <w:rPr/>
        <w:t> </w:t>
      </w:r>
    </w:p>
    <w:tbl>
      <w:tblPr>
        <w:tblW w:w="6597" w:type="dxa"/>
        <w:jc w:val="left"/>
        <w:tblInd w:w="0" w:type="dxa"/>
        <w:tblLayout w:type="fixed"/>
        <w:tblCellMar>
          <w:top w:w="28" w:type="dxa"/>
          <w:left w:w="28" w:type="dxa"/>
          <w:bottom w:w="28" w:type="dxa"/>
          <w:right w:w="28" w:type="dxa"/>
        </w:tblCellMar>
      </w:tblPr>
      <w:tblGrid>
        <w:gridCol w:w="2996"/>
        <w:gridCol w:w="146"/>
        <w:gridCol w:w="263"/>
        <w:gridCol w:w="979"/>
        <w:gridCol w:w="210"/>
        <w:gridCol w:w="170"/>
        <w:gridCol w:w="263"/>
        <w:gridCol w:w="979"/>
        <w:gridCol w:w="59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28,996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8,213</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37,209</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(32,485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following table summarizes our research and development expenses for the periods indicated:</w:t>
      </w:r>
      <w:r>
        <w:rPr>
          <w:rFonts w:ascii="Times New Roman" w:hAnsi="Times New Roman"/>
          <w:color w:val="000000"/>
          <w:sz w:val="20"/>
        </w:rPr>
        <w:t xml:space="preserve"> </w:t>
      </w:r>
    </w:p>
    <w:p>
      <w:pPr>
        <w:pStyle w:val="TextBody"/>
        <w:bidi w:val="0"/>
        <w:jc w:val="left"/>
        <w:rPr/>
      </w:pPr>
      <w:r>
        <w:rPr/>
        <w:t> </w:t>
      </w:r>
    </w:p>
    <w:tbl>
      <w:tblPr>
        <w:tblW w:w="7875" w:type="dxa"/>
        <w:jc w:val="left"/>
        <w:tblInd w:w="0" w:type="dxa"/>
        <w:tblLayout w:type="fixed"/>
        <w:tblCellMar>
          <w:top w:w="28" w:type="dxa"/>
          <w:left w:w="28" w:type="dxa"/>
          <w:bottom w:w="28" w:type="dxa"/>
          <w:right w:w="28" w:type="dxa"/>
        </w:tblCellMar>
      </w:tblPr>
      <w:tblGrid>
        <w:gridCol w:w="4276"/>
        <w:gridCol w:w="146"/>
        <w:gridCol w:w="284"/>
        <w:gridCol w:w="964"/>
        <w:gridCol w:w="183"/>
        <w:gridCol w:w="183"/>
        <w:gridCol w:w="284"/>
        <w:gridCol w:w="964"/>
        <w:gridCol w:w="5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ELVN-001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ELVN-002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4,034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13,581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14,772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Facilities, laboratory supplies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internal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15,415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28,996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Research and development expenses were $29.0 million for the three months ended June 30, 2026 compared to $21.5 million for the three months ended June 30, 2025, an increase of $7.5 million. The increase was due to higher internal research and development costs, consisting of $5.5 million in stock-based compensation, largely attributable to modifications to certain equity awards and higher valuations on equity grants, and $1.1 million in salaries and benefits, and higher external research and development costs, driven by an increase of $2.3 million in ELVN-001 costs due to clinical progression and $0.9 million in other external costs mainly related to higher consulting costs, partially offset by a decrease of $2.3 million in ELVN-002 costs due to our decision not to pursue further development of the program.</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General and Administrative Expenses</w:t>
      </w:r>
    </w:p>
    <w:p>
      <w:pPr>
        <w:pStyle w:val="TextBody"/>
        <w:bidi w:val="0"/>
        <w:spacing w:before="120" w:after="283"/>
        <w:jc w:val="left"/>
        <w:rPr>
          <w:rFonts w:ascii="sans-serif" w:hAnsi="sans-serif"/>
          <w:color w:val="000000"/>
          <w:sz w:val="20"/>
        </w:rPr>
      </w:pPr>
      <w:r>
        <w:rPr>
          <w:rFonts w:ascii="sans-serif" w:hAnsi="sans-serif"/>
          <w:color w:val="000000"/>
          <w:sz w:val="20"/>
        </w:rPr>
        <w:t>General and administrative expenses were $8.2 million for the three months ended June 30, 2026 compared to $7.1 million for the three months ended June 30, 2025, an increase of $1.1 million. The increase was driven by higher stock-based compensation of $0.7 million and salaries and benefits of $0.5 million, partially offset by lower other costs of $0.1 million.</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Other Income (Expense), Net</w:t>
      </w:r>
    </w:p>
    <w:p>
      <w:pPr>
        <w:pStyle w:val="TextBody"/>
        <w:bidi w:val="0"/>
        <w:spacing w:before="120" w:after="283"/>
        <w:jc w:val="left"/>
        <w:rPr>
          <w:rFonts w:ascii="sans-serif" w:hAnsi="sans-serif"/>
          <w:color w:val="000000"/>
          <w:sz w:val="20"/>
        </w:rPr>
      </w:pPr>
      <w:r>
        <w:rPr>
          <w:rFonts w:ascii="sans-serif" w:hAnsi="sans-serif"/>
          <w:color w:val="000000"/>
          <w:sz w:val="20"/>
        </w:rPr>
        <w:t>Other income was $4.7 million for the three months ended June 30, 2026 compared to $3.2 million for the three months ended June 30, 2025, an increase of $1.5 million. The increase was driven by higher interest income due to a higher investment balance net of lower interest rates.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Results of Operations</w:t>
      </w:r>
    </w:p>
    <w:p>
      <w:pPr>
        <w:pStyle w:val="TextBody"/>
        <w:bidi w:val="0"/>
        <w:spacing w:before="120" w:after="283"/>
        <w:jc w:val="left"/>
        <w:rPr>
          <w:rFonts w:ascii="sans-serif" w:hAnsi="sans-serif"/>
          <w:b/>
          <w:i/>
          <w:color w:val="000000"/>
          <w:sz w:val="20"/>
        </w:rPr>
      </w:pPr>
      <w:r>
        <w:rPr>
          <w:rFonts w:ascii="sans-serif" w:hAnsi="sans-serif"/>
          <w:b/>
          <w:i/>
          <w:color w:val="000000"/>
          <w:sz w:val="20"/>
        </w:rPr>
        <w:t>Comparison of the six months ended June 30, 2026 and 2025</w:t>
      </w:r>
    </w:p>
    <w:p>
      <w:pPr>
        <w:pStyle w:val="TextBody"/>
        <w:bidi w:val="0"/>
        <w:spacing w:before="120" w:after="283"/>
        <w:jc w:val="left"/>
        <w:rPr>
          <w:rFonts w:ascii="sans-serif" w:hAnsi="sans-serif"/>
          <w:color w:val="000000"/>
          <w:sz w:val="20"/>
        </w:rPr>
      </w:pPr>
      <w:r>
        <w:rPr>
          <w:rFonts w:ascii="sans-serif" w:hAnsi="sans-serif"/>
          <w:color w:val="000000"/>
          <w:sz w:val="20"/>
        </w:rPr>
        <w:t>The following table summarizes our results of operations for the periods indicated:</w:t>
      </w:r>
    </w:p>
    <w:p>
      <w:pPr>
        <w:pStyle w:val="TextBody"/>
        <w:bidi w:val="0"/>
        <w:jc w:val="left"/>
        <w:rPr/>
      </w:pPr>
      <w:r>
        <w:rPr/>
        <w:t> </w:t>
      </w:r>
    </w:p>
    <w:tbl>
      <w:tblPr>
        <w:tblW w:w="6357" w:type="dxa"/>
        <w:jc w:val="left"/>
        <w:tblInd w:w="0" w:type="dxa"/>
        <w:tblLayout w:type="fixed"/>
        <w:tblCellMar>
          <w:top w:w="28" w:type="dxa"/>
          <w:left w:w="28" w:type="dxa"/>
          <w:bottom w:w="28" w:type="dxa"/>
          <w:right w:w="28" w:type="dxa"/>
        </w:tblCellMar>
      </w:tblPr>
      <w:tblGrid>
        <w:gridCol w:w="2996"/>
        <w:gridCol w:w="146"/>
        <w:gridCol w:w="241"/>
        <w:gridCol w:w="897"/>
        <w:gridCol w:w="193"/>
        <w:gridCol w:w="155"/>
        <w:gridCol w:w="241"/>
        <w:gridCol w:w="897"/>
        <w:gridCol w:w="59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49,683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46,386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15,349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65,032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(65,032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(56,112</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The following table summarizes our research and development expenses for the periods indicated:</w:t>
      </w:r>
    </w:p>
    <w:p>
      <w:pPr>
        <w:pStyle w:val="TextBody"/>
        <w:bidi w:val="0"/>
        <w:jc w:val="left"/>
        <w:rPr/>
      </w:pPr>
      <w:r>
        <w:rPr/>
        <w:t> </w:t>
      </w:r>
    </w:p>
    <w:tbl>
      <w:tblPr>
        <w:tblW w:w="7635" w:type="dxa"/>
        <w:jc w:val="left"/>
        <w:tblInd w:w="0" w:type="dxa"/>
        <w:tblLayout w:type="fixed"/>
        <w:tblCellMar>
          <w:top w:w="28" w:type="dxa"/>
          <w:left w:w="28" w:type="dxa"/>
          <w:bottom w:w="28" w:type="dxa"/>
          <w:right w:w="28" w:type="dxa"/>
        </w:tblCellMar>
      </w:tblPr>
      <w:tblGrid>
        <w:gridCol w:w="4276"/>
        <w:gridCol w:w="146"/>
        <w:gridCol w:w="260"/>
        <w:gridCol w:w="883"/>
        <w:gridCol w:w="168"/>
        <w:gridCol w:w="168"/>
        <w:gridCol w:w="260"/>
        <w:gridCol w:w="883"/>
        <w:gridCol w:w="5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ELVN-001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ELVN-002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25,176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Facilities, laboratory supplies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internal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24,507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49,683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46,386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Research and development expenses were $49.7 million for the six months ended June 30, 2026 compared to $46.4 million for the six months ended June 30, 2025, an increase of $3.3 million. The increase was due to higher internal research and development costs, consisting of $6.2 million in stock-based compensation, largely attributable to modifications to certain equity awards and higher valuations on equity grants, and $1.4 million in salaries and benefits, partially offset by a decrease of $0.3 million in other internal costs. This increase was partially offset by lower external research and development costs, driven by a decrease of $9.3 million in ELVN-002 costs due to our decision not to pursue further development of the program, partially offset by an increase of $5.1 million in ELVN-001 costs due to clinical progression and $0.2 million in other external costs.</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General and Administrative Expenses</w:t>
      </w:r>
    </w:p>
    <w:p>
      <w:pPr>
        <w:pStyle w:val="TextBody"/>
        <w:bidi w:val="0"/>
        <w:spacing w:before="120" w:after="283"/>
        <w:jc w:val="left"/>
        <w:rPr>
          <w:rFonts w:ascii="sans-serif" w:hAnsi="sans-serif"/>
          <w:color w:val="000000"/>
          <w:sz w:val="20"/>
        </w:rPr>
      </w:pPr>
      <w:r>
        <w:rPr>
          <w:rFonts w:ascii="sans-serif" w:hAnsi="sans-serif"/>
          <w:color w:val="000000"/>
          <w:sz w:val="20"/>
        </w:rPr>
        <w:t>General and administrative expenses were $15.3 million for the six months ended June 30, 2026 compared to $13.9 million for the six months ended June 30, 2025, an increase of $1.4 million. The increase was driven by higher salaries and benefits of $1.3 million and stock-based compensation of $0.5 million, partially offset by lower consulting costs of $0.4 million.</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Other Income (Expense), Net</w:t>
      </w:r>
    </w:p>
    <w:p>
      <w:pPr>
        <w:pStyle w:val="TextBody"/>
        <w:bidi w:val="0"/>
        <w:spacing w:before="120" w:after="283"/>
        <w:jc w:val="left"/>
        <w:rPr>
          <w:rFonts w:ascii="sans-serif" w:hAnsi="sans-serif"/>
          <w:color w:val="000000"/>
          <w:sz w:val="20"/>
        </w:rPr>
      </w:pPr>
      <w:r>
        <w:rPr>
          <w:rFonts w:ascii="sans-serif" w:hAnsi="sans-serif"/>
          <w:color w:val="000000"/>
          <w:sz w:val="20"/>
        </w:rPr>
        <w:t>Other income was $8.9 million for the six months ended June 30, 2026 compared to $6.4 million for the six months ended June 30, 2025, an increase of $2.5 million. The increase was driven by higher interest income due to a higher investment balance net of lower interest rates.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Liquidity and Capital Resources</w:t>
      </w:r>
    </w:p>
    <w:p>
      <w:pPr>
        <w:pStyle w:val="TextBody"/>
        <w:bidi w:val="0"/>
        <w:spacing w:before="120" w:after="283"/>
        <w:jc w:val="left"/>
        <w:rPr>
          <w:rFonts w:ascii="sans-serif" w:hAnsi="sans-serif"/>
          <w:b/>
          <w:i/>
          <w:color w:val="000000"/>
          <w:sz w:val="20"/>
        </w:rPr>
      </w:pPr>
      <w:r>
        <w:rPr>
          <w:rFonts w:ascii="sans-serif" w:hAnsi="sans-serif"/>
          <w:b/>
          <w:i/>
          <w:color w:val="000000"/>
          <w:sz w:val="20"/>
        </w:rPr>
        <w:t>Sources of Liquidity</w:t>
      </w:r>
    </w:p>
    <w:p>
      <w:pPr>
        <w:pStyle w:val="TextBody"/>
        <w:bidi w:val="0"/>
        <w:spacing w:before="120" w:after="283"/>
        <w:jc w:val="left"/>
        <w:rPr>
          <w:rFonts w:ascii="sans-serif" w:hAnsi="sans-serif"/>
          <w:color w:val="000000"/>
          <w:sz w:val="20"/>
        </w:rPr>
      </w:pPr>
      <w:r>
        <w:rPr>
          <w:rFonts w:ascii="sans-serif" w:hAnsi="sans-serif"/>
          <w:color w:val="000000"/>
          <w:sz w:val="20"/>
        </w:rPr>
        <w:t>Since our inception, we have not generated any revenue from product sales or other sources and have incurred significant operating losses and negative cash flows from our operations. Former Enliven funded its operations primarily through private placements of its convertible preferred stock for gross proceeds of $140.5 million and sale of common stock in the Financing Transaction in February 2023 for gross proceeds of $164.5 million. In March 2024, we sold common stock and pre-funded warrants in the Private Placement and received aggregate gross proceeds of $90.0 million. In June 2025, we completed the 2025 Public Offering where we sold common stock and pre-funded warrants, resulting in aggregate gross proceeds of $230.0 million. In June 2026, we completed the 2026 Public Offering where we sold common stock and pre-funded warrants, resulting in aggregate gross proceeds of $460.0 million.</w:t>
      </w:r>
    </w:p>
    <w:p>
      <w:pPr>
        <w:pStyle w:val="TextBody"/>
        <w:bidi w:val="0"/>
        <w:jc w:val="left"/>
        <w:rPr>
          <w:rFonts w:ascii="Times New Roman" w:hAnsi="Times New Roman"/>
          <w:sz w:val="20"/>
        </w:rPr>
      </w:pPr>
      <w:r>
        <w:rPr>
          <w:rFonts w:ascii="sans-serif" w:hAnsi="sans-serif"/>
          <w:color w:val="000000"/>
          <w:sz w:val="20"/>
        </w:rPr>
        <w:t>On June 23, 2023, we entered into an Open Market Sale Agreement</w:t>
      </w:r>
      <w:r>
        <w:rPr>
          <w:rFonts w:ascii="sans-serif" w:hAnsi="sans-serif"/>
          <w:color w:val="000000"/>
          <w:sz w:val="13"/>
        </w:rPr>
        <w:t>SM</w:t>
      </w:r>
      <w:r>
        <w:rPr>
          <w:rFonts w:ascii="Times New Roman" w:hAnsi="Times New Roman"/>
          <w:color w:val="000000"/>
          <w:sz w:val="20"/>
        </w:rPr>
        <w:t xml:space="preserve"> </w:t>
      </w:r>
      <w:r>
        <w:rPr>
          <w:rFonts w:ascii="sans-serif" w:hAnsi="sans-serif"/>
          <w:color w:val="000000"/>
          <w:sz w:val="20"/>
        </w:rPr>
        <w:t>(the “Sales Agreement”) with Jefferies LLC (the "Sales Agent”), pursuant to which we may offer and sell shares of our common stock, from time to time, through the Sales Agent, in such share amounts as we may specify by notice to the Sales Agent, in accordance with the terms and conditions set forth in the Sales Agreement. On August 13, 2025, we filed an automatic shelf registration statement on Form S-3ASR (the “Automatic Shelf Registration Statement”) with the Securities and Exchange Commission (the “SEC”) that allows us to undertake an indeterminate amount of equity and debt offerings. On August 13, 2025, we also filed a prospectus supplement to the Automatic Shelf Registration Statement that covers the offering, issuance and sale of up to $200.0 million of our common stock under the Sales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Through June 30, 2026, we have sold shares of our common stock pursuant to the Sales Agreement and received gross proceeds of $40.0 million. As of June 30, 2026 and December 31, 2025, there was $200.0 million of our common stock available for sale under the Sales Agreement.</w:t>
      </w:r>
    </w:p>
    <w:p>
      <w:pPr>
        <w:pStyle w:val="TextBody"/>
        <w:bidi w:val="0"/>
        <w:jc w:val="left"/>
        <w:rPr>
          <w:rFonts w:ascii="sans-serif" w:hAnsi="sans-serif"/>
          <w:color w:val="000000"/>
          <w:sz w:val="20"/>
        </w:rPr>
      </w:pPr>
      <w:r>
        <w:rPr>
          <w:rFonts w:ascii="sans-serif" w:hAnsi="sans-serif"/>
          <w:color w:val="000000"/>
          <w:sz w:val="20"/>
        </w:rPr>
        <w:t>Our primary uses of cash to date have been to fund our research and development activities, including with respect to our BCR-ABL and HER2 programs and our other programs, business planning, establishing and maintaining our intellectual property portfolio, hiring personnel, raising capital, and providing general and administrative support for these activities. As of June 30, 2026, we had cash, cash equivalents and marketable securities of $895.2 million.</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Future Capital Requirements</w:t>
      </w:r>
    </w:p>
    <w:p>
      <w:pPr>
        <w:pStyle w:val="TextBody"/>
        <w:bidi w:val="0"/>
        <w:spacing w:before="120" w:after="283"/>
        <w:jc w:val="left"/>
        <w:rPr>
          <w:rFonts w:ascii="sans-serif" w:hAnsi="sans-serif"/>
          <w:color w:val="000000"/>
          <w:sz w:val="20"/>
        </w:rPr>
      </w:pPr>
      <w:r>
        <w:rPr>
          <w:rFonts w:ascii="sans-serif" w:hAnsi="sans-serif"/>
          <w:color w:val="000000"/>
          <w:sz w:val="20"/>
        </w:rPr>
        <w:t>To date, we have not generated any revenue. We do not expect to generate any meaningful revenue unless and until we obtain regulatory approval of and commercialize any of our product candidates, and we do not know when, or if, that will occur. Until such time as we can generate significant revenue from product sales, if ever, we will continue to require substantial additional capital to develop our product candidates and fund operations for the foreseeable future. We expect our expenses to increase significantly in connection with our ongoing activities as described in greater detail below. We are subject to all the risks incident in the development of new biopharmaceutical products, and we may encounter unforeseen expenses, difficulties, complications, delays and other unknown factors that may harm our business. We expect our expenses to increase significantly,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 our BCR-ABL program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 any other product candidates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 the development of our other small molecule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expand our pipeline of product candidates through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develop our research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develop any required companion diagnostic;</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establish a sales, marketing, medical and distribution infrastructure to commercialize any approved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contract to manufacture any clinical product candidates or approved product candidates; for example, we expect to manufacture certain of our product candidates in additional countries, including countries in Europe, which may increase the cost of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contract for supplies and drug product for use in potential combination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expand our clinical, scientific, management and administrative teams;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maintain, expand, protect and enforce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implement operational, financial and management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operate as a public company.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order to complete the development of our product candidates and to build the sales, marketing and distribution infrastructure that we believe will be necessary to commercialize our product candidates, if approved, we will require substantial additional capital. Accordingly, until such time that we can generate a sufficient amount of revenue from product sales or other sources, if ever, we expect to seek to raise any necessary additional capital through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Our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We cannot provide assurance that we will ever generate positive cash flow from operating activities.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expect that our existing cash, cash equivalents and marketable securities will be sufficient to fund our operating expenses and capital expenditure requirements for at least the next 12 months from the date of this filing. We expect to continue to incur costs associated with operating as a public company. In addition, we anticipate that we will need substantial additional funding in connection with our continuing operations. We have based our projections of operating capital requirements on our current operating plan, which includes several assumptions that may prove to be incorrect, and we may use all of our available capital resources sooner than we expect.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scope, timing, progress, results and costs of researching and developing our product candidates,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scope, timing, progress, results and costs of researching and developing other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 of research and development to expand our pipeline of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 of developing a companion diagnostic, if required for regulatory approval of any product;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 of acquiring drug product for any combination studies or comparator arms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 of patient enrollment and recruitment for existing clinical trials and any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costs of future activities, including product sales, medical affairs, marketing, manufacturing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costs of manufacturing commercial-grade products and sufficient inventory to support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revenue, if any, received from commercial sale of our products,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 and timing of attracting, hiring and retaining skilled personnel to support our operations and continued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ability to establish, maintain, and derive value from collaborations, partnerships or other marketing, distribution, licensing or other strategic arrangements with third parties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extent to which we acquire or in-license other product candidates and technologies,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costs associated with operating as a public company.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Cash Flows</w:t>
      </w:r>
    </w:p>
    <w:p>
      <w:pPr>
        <w:pStyle w:val="TextBody"/>
        <w:bidi w:val="0"/>
        <w:spacing w:before="120" w:after="283"/>
        <w:jc w:val="left"/>
        <w:rPr>
          <w:rFonts w:ascii="sans-serif" w:hAnsi="sans-serif"/>
          <w:color w:val="000000"/>
          <w:sz w:val="20"/>
        </w:rPr>
      </w:pPr>
      <w:r>
        <w:rPr>
          <w:rFonts w:ascii="sans-serif" w:hAnsi="sans-serif"/>
          <w:color w:val="000000"/>
          <w:sz w:val="20"/>
        </w:rPr>
        <w:t>The following table summarizes our cash flows for the periods indicated:</w:t>
      </w:r>
    </w:p>
    <w:p>
      <w:pPr>
        <w:pStyle w:val="TextBody"/>
        <w:bidi w:val="0"/>
        <w:jc w:val="left"/>
        <w:rPr/>
      </w:pPr>
      <w:r>
        <w:rPr/>
        <w:t> </w:t>
      </w:r>
    </w:p>
    <w:tbl>
      <w:tblPr>
        <w:tblW w:w="9959" w:type="dxa"/>
        <w:jc w:val="left"/>
        <w:tblInd w:w="0" w:type="dxa"/>
        <w:tblLayout w:type="fixed"/>
        <w:tblCellMar>
          <w:top w:w="28" w:type="dxa"/>
          <w:left w:w="28" w:type="dxa"/>
          <w:bottom w:w="28" w:type="dxa"/>
          <w:right w:w="28" w:type="dxa"/>
        </w:tblCellMar>
      </w:tblPr>
      <w:tblGrid>
        <w:gridCol w:w="6886"/>
        <w:gridCol w:w="146"/>
        <w:gridCol w:w="226"/>
        <w:gridCol w:w="961"/>
        <w:gridCol w:w="181"/>
        <w:gridCol w:w="146"/>
        <w:gridCol w:w="226"/>
        <w:gridCol w:w="961"/>
        <w:gridCol w:w="226"/>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(37,822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(41,184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(399,040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(182,162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473,471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218,612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Cash Flows from Operating Activities</w:t>
      </w:r>
    </w:p>
    <w:p>
      <w:pPr>
        <w:pStyle w:val="TextBody"/>
        <w:bidi w:val="0"/>
        <w:spacing w:before="120" w:after="283"/>
        <w:jc w:val="left"/>
        <w:rPr>
          <w:rFonts w:ascii="sans-serif" w:hAnsi="sans-serif"/>
          <w:color w:val="000000"/>
          <w:sz w:val="20"/>
        </w:rPr>
      </w:pPr>
      <w:r>
        <w:rPr>
          <w:rFonts w:ascii="sans-serif" w:hAnsi="sans-serif"/>
          <w:color w:val="000000"/>
          <w:sz w:val="20"/>
        </w:rPr>
        <w:t>Net cash used in operating activities during the six months ended June 30, 2026 was $37.8 million. This consisted of a net loss of $56.1 million and net cash outflows from changes in our operating assets and liabilities of $4.0 million (mainly due to a decrease in accounts payable and accrued expenses and other liabilities and an increase in prepaids and other assets), partially offset by noncash charges for stock-based compensation of $21.3 million and other noncash charges of $1.0 million.</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Net cash used in operating activities during the six months ended June 30, 2025 was $41.2 million. This consisted of a net loss of $53.9 million and net cash outflows from changes in our operating assets and liabilities of $2.2 million (mainly due to a net decrease in accounts payable and accrued expenses and other liabilities and an increase in prepaids and other assets), partially offset by noncash charges for stock-based compensation of $14.5 million and other noncash charges of $0.4 million.</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Cash Flows from Investing Activities</w:t>
      </w:r>
    </w:p>
    <w:p>
      <w:pPr>
        <w:pStyle w:val="TextBody"/>
        <w:bidi w:val="0"/>
        <w:spacing w:before="120" w:after="283"/>
        <w:jc w:val="left"/>
        <w:rPr>
          <w:rFonts w:ascii="sans-serif" w:hAnsi="sans-serif"/>
          <w:color w:val="000000"/>
          <w:sz w:val="20"/>
        </w:rPr>
      </w:pPr>
      <w:r>
        <w:rPr>
          <w:rFonts w:ascii="sans-serif" w:hAnsi="sans-serif"/>
          <w:color w:val="000000"/>
          <w:sz w:val="20"/>
        </w:rPr>
        <w:t>Net cash used in investing activities during the six months ended June 30, 2026 was $399.0 million. This consisted of cash used to purchase marketable securities of $626.0 million and purchases of property and equipment of $0.1 million, partially offset by proceeds from maturities of marketable securities of $227.1 million.</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Net cash used in investing activities during the six months ended June 30, 2025 was $182.2 million. This consisted of cash used to purchase marketable securities of $299.4 million and purchases of property and equipment of $0.2 million, partially offset by proceeds from maturities of marketable securities of $117.4 million.</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Cash Flows from Financing Activities</w:t>
      </w:r>
    </w:p>
    <w:p>
      <w:pPr>
        <w:pStyle w:val="TextBody"/>
        <w:bidi w:val="0"/>
        <w:spacing w:before="120" w:after="283"/>
        <w:jc w:val="left"/>
        <w:rPr>
          <w:rFonts w:ascii="sans-serif" w:hAnsi="sans-serif"/>
          <w:color w:val="000000"/>
          <w:sz w:val="20"/>
        </w:rPr>
      </w:pPr>
      <w:r>
        <w:rPr>
          <w:rFonts w:ascii="sans-serif" w:hAnsi="sans-serif"/>
          <w:color w:val="000000"/>
          <w:sz w:val="20"/>
        </w:rPr>
        <w:t>Net cash provided by financing activities during the six months ended June 30, 2026 was $473.5 million. This consisted of net proceeds from the sale of shares of our common stock and pre-funded warrants in the 2026 Public Offering of $433.5 million (excluding the payment of accrued costs of approximately $0.7 million), proceeds from the exercise of stock options of $39.6 million and proceeds from the issuance of common stock under our employee stock purchase plan of $0.4 million.</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Net cash provided by financing activities during the six months ended June 30, 2025 was $218.6 million. This consisted of net proceeds from the sale of shares of our common stock and pre-funded warrants in the 2025 Public Offering of $216.6 million (excluding the payment of accrued costs of approximately $0.4 million), proceeds from the exercise of stock options of $1.6 million and proceeds from the issuance of common stock under our employee stock purchase plan of $0.4 million.</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Contractual Obligations and Commitments</w:t>
      </w:r>
    </w:p>
    <w:p>
      <w:pPr>
        <w:pStyle w:val="TextBody"/>
        <w:bidi w:val="0"/>
        <w:spacing w:before="120" w:after="283"/>
        <w:jc w:val="left"/>
        <w:rPr>
          <w:rFonts w:ascii="sans-serif" w:hAnsi="sans-serif"/>
          <w:color w:val="000000"/>
          <w:sz w:val="20"/>
        </w:rPr>
      </w:pPr>
      <w:r>
        <w:rPr>
          <w:rFonts w:ascii="sans-serif" w:hAnsi="sans-serif"/>
          <w:color w:val="000000"/>
          <w:sz w:val="20"/>
        </w:rPr>
        <w:t>In September 2024, we entered into a non-cancellable operating lease (the "Boulder Lease") with Crestview, LLC in Boulder, Colorado. Under the terms of the Boulder Lease, we will lease approximately 20,011 rentable square feet of office and laboratory space from January 1, 2025 through December 31, 2026, with a renewal option for an additional term of five years.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April 2026, we entered into a non-cancellable operating lease (the “Bay Area Lease”) with JSR Karp 7, LP for our new headquarters in Burlingame, California. The Bay Area Lease provides for approximately 7,200 square feet of office space with a lease term from June 1, 2026 through May 31, 2029.</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following table summarizes our contractual obligations and commitments as of June 30, 2026 (in thousands):</w:t>
      </w:r>
    </w:p>
    <w:p>
      <w:pPr>
        <w:pStyle w:val="TextBody"/>
        <w:bidi w:val="0"/>
        <w:jc w:val="left"/>
        <w:rPr/>
      </w:pPr>
      <w:r>
        <w:rPr/>
        <w:t> </w:t>
      </w:r>
    </w:p>
    <w:tbl>
      <w:tblPr>
        <w:tblW w:w="9888" w:type="dxa"/>
        <w:jc w:val="left"/>
        <w:tblInd w:w="0" w:type="dxa"/>
        <w:tblLayout w:type="fixed"/>
        <w:tblCellMar>
          <w:top w:w="28" w:type="dxa"/>
          <w:left w:w="28" w:type="dxa"/>
          <w:bottom w:w="28" w:type="dxa"/>
          <w:right w:w="28" w:type="dxa"/>
        </w:tblCellMar>
      </w:tblPr>
      <w:tblGrid>
        <w:gridCol w:w="4516"/>
        <w:gridCol w:w="146"/>
        <w:gridCol w:w="226"/>
        <w:gridCol w:w="646"/>
        <w:gridCol w:w="146"/>
        <w:gridCol w:w="146"/>
        <w:gridCol w:w="353"/>
        <w:gridCol w:w="728"/>
        <w:gridCol w:w="146"/>
        <w:gridCol w:w="146"/>
        <w:gridCol w:w="295"/>
        <w:gridCol w:w="845"/>
        <w:gridCol w:w="146"/>
        <w:gridCol w:w="146"/>
        <w:gridCol w:w="348"/>
        <w:gridCol w:w="718"/>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Remainder</w:t>
              <w:br/>
              <w:t>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obligations - Boulder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obligations - Bay Area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have also entered into agreements in the normal course of business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separately presented.</w:t>
      </w:r>
    </w:p>
    <w:p>
      <w:pPr>
        <w:pStyle w:val="TextBody"/>
        <w:bidi w:val="0"/>
        <w:jc w:val="left"/>
        <w:rPr/>
      </w:pPr>
      <w:bookmarkStart w:id="16" w:name="tx401639_156"/>
      <w:bookmarkEnd w:id="16"/>
      <w:r>
        <w:rPr/>
        <w:t> </w:t>
      </w:r>
    </w:p>
    <w:p>
      <w:pPr>
        <w:pStyle w:val="TextBody"/>
        <w:bidi w:val="0"/>
        <w:jc w:val="left"/>
        <w:rPr>
          <w:rFonts w:ascii="sans-serif" w:hAnsi="sans-serif"/>
          <w:b/>
          <w:color w:val="000000"/>
          <w:sz w:val="20"/>
        </w:rPr>
      </w:pPr>
      <w:r>
        <w:rPr>
          <w:rFonts w:ascii="sans-serif" w:hAnsi="sans-serif"/>
          <w:b/>
          <w:color w:val="000000"/>
          <w:sz w:val="20"/>
        </w:rPr>
        <w:t>Off-Balance Sheet Arrangements</w:t>
      </w:r>
    </w:p>
    <w:p>
      <w:pPr>
        <w:pStyle w:val="TextBody"/>
        <w:bidi w:val="0"/>
        <w:spacing w:before="120" w:after="283"/>
        <w:jc w:val="left"/>
        <w:rPr>
          <w:rFonts w:ascii="sans-serif" w:hAnsi="sans-serif"/>
          <w:color w:val="000000"/>
          <w:sz w:val="20"/>
        </w:rPr>
      </w:pPr>
      <w:r>
        <w:rPr>
          <w:rFonts w:ascii="sans-serif" w:hAnsi="sans-serif"/>
          <w:color w:val="000000"/>
          <w:sz w:val="20"/>
        </w:rPr>
        <w:t>We currently do not have, and did not have during the periods presented, any off-balance sheet arrangements, as defined in the rules and regulations of the SEC.</w:t>
      </w:r>
    </w:p>
    <w:p>
      <w:pPr>
        <w:pStyle w:val="TextBody"/>
        <w:bidi w:val="0"/>
        <w:jc w:val="left"/>
        <w:rPr/>
      </w:pPr>
      <w:bookmarkStart w:id="17" w:name="tx401639_157"/>
      <w:bookmarkEnd w:id="17"/>
      <w:r>
        <w:rPr/>
        <w:t> </w:t>
      </w:r>
    </w:p>
    <w:p>
      <w:pPr>
        <w:pStyle w:val="TextBody"/>
        <w:bidi w:val="0"/>
        <w:jc w:val="left"/>
        <w:rPr>
          <w:rFonts w:ascii="sans-serif" w:hAnsi="sans-serif"/>
          <w:b/>
          <w:color w:val="000000"/>
          <w:sz w:val="20"/>
        </w:rPr>
      </w:pPr>
      <w:r>
        <w:rPr>
          <w:rFonts w:ascii="sans-serif" w:hAnsi="sans-serif"/>
          <w:b/>
          <w:color w:val="000000"/>
          <w:sz w:val="20"/>
        </w:rPr>
        <w:t>Critical Accounting Policies and Significant Judgments and Estimates</w:t>
      </w:r>
    </w:p>
    <w:p>
      <w:pPr>
        <w:pStyle w:val="TextBody"/>
        <w:bidi w:val="0"/>
        <w:spacing w:before="120" w:after="283"/>
        <w:jc w:val="left"/>
        <w:rPr>
          <w:rFonts w:ascii="sans-serif" w:hAnsi="sans-serif"/>
          <w:color w:val="000000"/>
          <w:sz w:val="20"/>
        </w:rPr>
      </w:pPr>
      <w:r>
        <w:rPr>
          <w:rFonts w:ascii="sans-serif" w:hAnsi="sans-serif"/>
          <w:color w:val="000000"/>
          <w:sz w:val="20"/>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 periodic basis. Our actual results may differ from these estimates. As of June 30, 2026, there have been no material changes to our critical accounting policies and estimates from those disclosed in “Management’s Discussion and Analysis of Financial Condition and Results of Operations – Critical Accounting Policies and Significant Judgments and Estimates,” included in our Annual Report on Form 10-K for the year ended December 31, 2025 filed with the SEC on March 3, 2026.</w:t>
      </w:r>
    </w:p>
    <w:p>
      <w:pPr>
        <w:pStyle w:val="TextBody"/>
        <w:bidi w:val="0"/>
        <w:jc w:val="left"/>
        <w:rPr/>
      </w:pPr>
      <w:r>
        <w:rPr/>
        <w:t> </w:t>
      </w:r>
    </w:p>
    <w:p>
      <w:pPr>
        <w:pStyle w:val="TextBody"/>
        <w:bidi w:val="0"/>
        <w:jc w:val="left"/>
        <w:rPr>
          <w:rFonts w:ascii="Times New Roman" w:hAnsi="Times New Roman"/>
          <w:sz w:val="20"/>
        </w:rPr>
      </w:pPr>
      <w:bookmarkStart w:id="18" w:name="tx401639_158"/>
      <w:bookmarkEnd w:id="18"/>
      <w:r>
        <w:rPr>
          <w:rFonts w:ascii="sans-serif" w:hAnsi="sans-serif"/>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A description of recently issued accounting pronouncements that may potentially impact our financial condition and results of operations is disclosed in Note 2 to our unaudited condensed consolidated financial statements appearing elsewhere in this quarterly report on Form 10-Q.</w:t>
      </w:r>
    </w:p>
    <w:p>
      <w:pPr>
        <w:pStyle w:val="TextBody"/>
        <w:bidi w:val="0"/>
        <w:spacing w:before="200" w:after="283"/>
        <w:jc w:val="left"/>
        <w:rPr>
          <w:rFonts w:ascii="Times New Roman" w:hAnsi="Times New Roman"/>
          <w:sz w:val="20"/>
        </w:rPr>
      </w:pPr>
      <w:bookmarkStart w:id="19" w:name="tx401639_160"/>
      <w:bookmarkEnd w:id="19"/>
      <w:r>
        <w:rPr>
          <w:rFonts w:ascii="sans-serif" w:hAnsi="sans-serif"/>
          <w:b/>
          <w:color w:val="000000"/>
          <w:sz w:val="20"/>
        </w:rPr>
        <w:t>Item 3. Quantitative and Qualitat</w:t>
      </w:r>
      <w:bookmarkStart w:id="20" w:name="item_7a_quantitative_qualitative_disclos"/>
      <w:bookmarkEnd w:id="20"/>
      <w:r>
        <w:rPr>
          <w:rFonts w:ascii="sans-serif" w:hAnsi="sans-serif"/>
          <w:b/>
          <w:color w:val="000000"/>
          <w:sz w:val="20"/>
        </w:rPr>
        <w:t>ive Disclosures About Market Risk</w:t>
      </w:r>
    </w:p>
    <w:p>
      <w:pPr>
        <w:pStyle w:val="TextBody"/>
        <w:bidi w:val="0"/>
        <w:spacing w:before="120" w:after="283"/>
        <w:jc w:val="left"/>
        <w:rPr>
          <w:rFonts w:ascii="Times New Roman" w:hAnsi="Times New Roman"/>
          <w:sz w:val="20"/>
        </w:rPr>
      </w:pPr>
      <w:r>
        <w:rPr>
          <w:rFonts w:ascii="sans-serif" w:hAnsi="sans-serif"/>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As of June 30, 2026, our cash, cash equivalents and marketable securities consisted primarily of U.S. Treasury securities and U.S. Treasury-backed money market funds. Our primary exposure to market risk is interest income sensitivity, which is affected by changes in the general level of U.S. interest rates. However, because our investment portfolio has a weighted-average duration of less than one year, we believe a hypothetical 100 basis point increase or decrease in interest rates during any of the periods presented would not have had a material impact on our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of June 30, 2026, we had no debt outstanding and are therefore not exposed to interest rate risk with respect to debt.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primary operations are transacted in U.S. dollars. However, we have entered into and intend to enter into contracts with third parties for research and development services that are denominated in foreign currencies, including euros/British pounds. We could be subject to foreign currency transaction gains or losses on our contracts denominated in foreign currencies. We do not currently engage in any hedging activity to reduce our potential exposure to currency fluctuations, although we may choose to do so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future. We believe a hypothetical 100 basis point increase or decrease in foreign exchange rates during any of the periods presented would not have had a material impact on our financial condition or results of operations.</w:t>
      </w:r>
    </w:p>
    <w:p>
      <w:pPr>
        <w:pStyle w:val="TextBody"/>
        <w:bidi w:val="0"/>
        <w:jc w:val="left"/>
        <w:rPr/>
      </w:pPr>
      <w:r>
        <w:rPr/>
        <w:t> </w:t>
      </w:r>
    </w:p>
    <w:p>
      <w:pPr>
        <w:pStyle w:val="TextBody"/>
        <w:bidi w:val="0"/>
        <w:jc w:val="left"/>
        <w:rPr>
          <w:rFonts w:ascii="Times New Roman" w:hAnsi="Times New Roman"/>
          <w:sz w:val="20"/>
        </w:rPr>
      </w:pPr>
      <w:bookmarkStart w:id="21" w:name="item_9a_controls_procedures"/>
      <w:bookmarkEnd w:id="21"/>
      <w:r>
        <w:rPr>
          <w:rFonts w:ascii="sans-serif" w:hAnsi="sans-serif"/>
          <w:b/>
          <w:color w:val="000000"/>
          <w:sz w:val="20"/>
        </w:rPr>
        <w:t>Item 4. Controls</w:t>
      </w:r>
      <w:r>
        <w:rPr>
          <w:rFonts w:ascii="Times New Roman" w:hAnsi="Times New Roman"/>
          <w:color w:val="000000"/>
          <w:sz w:val="20"/>
        </w:rPr>
        <w:t xml:space="preserve"> </w:t>
      </w:r>
      <w:r>
        <w:rPr>
          <w:rFonts w:ascii="sans-serif" w:hAnsi="sans-serif"/>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sans-serif" w:hAnsi="sans-serif"/>
          <w:b/>
          <w:i/>
          <w:color w:val="000000"/>
          <w:sz w:val="20"/>
        </w:rPr>
      </w:pPr>
      <w:r>
        <w:rPr>
          <w:rFonts w:ascii="sans-serif" w:hAnsi="sans-serif"/>
          <w:b/>
          <w:i/>
          <w:color w:val="000000"/>
          <w:sz w:val="20"/>
        </w:rPr>
        <w:t>Evaluation of Disclosure Controls and Procedures</w:t>
      </w:r>
    </w:p>
    <w:p>
      <w:pPr>
        <w:pStyle w:val="TextBody"/>
        <w:bidi w:val="0"/>
        <w:spacing w:before="120" w:after="283"/>
        <w:jc w:val="left"/>
        <w:rPr>
          <w:rFonts w:ascii="sans-serif" w:hAnsi="sans-serif"/>
          <w:color w:val="000000"/>
          <w:sz w:val="20"/>
        </w:rPr>
      </w:pPr>
      <w:r>
        <w:rPr>
          <w:rFonts w:ascii="sans-serif" w:hAnsi="sans-serif"/>
          <w:color w:val="000000"/>
          <w:sz w:val="20"/>
        </w:rPr>
        <w:t>We maintain disclosure controls and procedures that are designed to ensure that information required to be disclosed in our reports filed or submitted under the Securities Exchange Act of 1934, as amended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June 30, 2026,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June 30, 2026.</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There have been no changes in our internal control over financial reporting identified in connection with the evaluation required by Rule 13a-15(d) and 15d-15(d) of the Exchange Act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part_ii_other_information"/>
      <w:bookmarkEnd w:id="22"/>
      <w:r>
        <w:rPr>
          <w:rFonts w:ascii="sans-serif" w:hAnsi="sans-serif"/>
          <w:b/>
          <w:color w:val="000000"/>
          <w:sz w:val="20"/>
        </w:rPr>
        <w:t>PART II</w:t>
      </w:r>
      <w:r>
        <w:rPr>
          <w:rFonts w:ascii="Times New Roman" w:hAnsi="Times New Roman"/>
          <w:color w:val="000000"/>
          <w:sz w:val="20"/>
        </w:rPr>
        <w:t>—</w:t>
      </w:r>
      <w:r>
        <w:rPr>
          <w:rFonts w:ascii="sans-serif" w:hAnsi="sans-serif"/>
          <w:b/>
          <w:color w:val="000000"/>
          <w:sz w:val="20"/>
        </w:rPr>
        <w:t>OTHER INFORMATION</w:t>
      </w:r>
    </w:p>
    <w:p>
      <w:pPr>
        <w:pStyle w:val="TextBody"/>
        <w:bidi w:val="0"/>
        <w:spacing w:before="240" w:after="283"/>
        <w:jc w:val="left"/>
        <w:rPr>
          <w:rFonts w:ascii="sans-serif" w:hAnsi="sans-serif"/>
          <w:b/>
          <w:color w:val="000000"/>
          <w:sz w:val="20"/>
        </w:rPr>
      </w:pPr>
      <w:bookmarkStart w:id="23" w:name="item_1_legal_proceedings"/>
      <w:bookmarkEnd w:id="23"/>
      <w:r>
        <w:rPr>
          <w:rFonts w:ascii="sans-serif" w:hAnsi="sans-serif"/>
          <w:b/>
          <w:color w:val="000000"/>
          <w:sz w:val="20"/>
        </w:rPr>
        <w:t>Item 1. Legal Proceedings.</w:t>
      </w:r>
    </w:p>
    <w:p>
      <w:pPr>
        <w:pStyle w:val="TextBody"/>
        <w:bidi w:val="0"/>
        <w:spacing w:before="120" w:after="283"/>
        <w:jc w:val="left"/>
        <w:rPr>
          <w:rFonts w:ascii="Times New Roman" w:hAnsi="Times New Roman"/>
          <w:sz w:val="20"/>
        </w:rPr>
      </w:pPr>
      <w:r>
        <w:rPr>
          <w:rFonts w:ascii="sans-serif" w:hAnsi="sans-serif"/>
          <w:color w:val="000000"/>
          <w:sz w:val="20"/>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 The information set forth in Note 8. Commitments and Contingencies—Litigation to our unaudited condensed consolidated financial statements included in this quarterly report on Form 10-Q is incorporated herein by reference.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bookmarkStart w:id="24" w:name="item_1a_risk_factors"/>
      <w:bookmarkEnd w:id="24"/>
      <w:r>
        <w:rPr>
          <w:rFonts w:ascii="sans-serif" w:hAnsi="sans-serif"/>
          <w:b/>
          <w:color w:val="000000"/>
          <w:sz w:val="20"/>
        </w:rPr>
        <w:t>Item 1A. Risk Factors.</w:t>
      </w:r>
    </w:p>
    <w:p>
      <w:pPr>
        <w:pStyle w:val="TextBody"/>
        <w:bidi w:val="0"/>
        <w:spacing w:before="120" w:after="283"/>
        <w:jc w:val="left"/>
        <w:rPr>
          <w:rFonts w:ascii="sans-serif" w:hAnsi="sans-serif"/>
          <w:b/>
          <w:color w:val="000000"/>
          <w:sz w:val="20"/>
        </w:rPr>
      </w:pPr>
      <w:r>
        <w:rPr>
          <w:rFonts w:ascii="sans-serif" w:hAnsi="sans-serif"/>
          <w:b/>
          <w:color w:val="000000"/>
          <w:sz w:val="20"/>
        </w:rPr>
        <w:t>Risk factors</w:t>
      </w:r>
    </w:p>
    <w:p>
      <w:pPr>
        <w:pStyle w:val="TextBody"/>
        <w:bidi w:val="0"/>
        <w:spacing w:before="120" w:after="283"/>
        <w:jc w:val="left"/>
        <w:rPr>
          <w:rFonts w:ascii="sans-serif" w:hAnsi="sans-serif"/>
          <w:i/>
          <w:color w:val="000000"/>
          <w:sz w:val="20"/>
        </w:rPr>
      </w:pPr>
      <w:r>
        <w:rPr>
          <w:rFonts w:ascii="sans-serif" w:hAnsi="sans-serif"/>
          <w:i/>
          <w:color w:val="000000"/>
          <w:sz w:val="20"/>
        </w:rPr>
        <w:t>You should carefully consider the risks described below, as well as the other information in this quarterly report on Form 10-Q, including our unaudited condensed consolidated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are early in our development efforts, with a limited operating history, and we have no products approved for commercial sale, which may make it difficult for you to evaluate our current business and likelihood of success and future viability.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have incurred significant net losses and we expect to continue to incur significant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have never generated revenue from product sales and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are substantially dependent on ELVN-001. If we are unable to advance ELVN-001 through clinical development, obtain regulatory approval and ultimately commercialize or license ELVN-001,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outcome of preclinical testing and early clinical trials may not be predictive of the success of later clinical trials, and the results of our clinical trials may not satisfy the requirements of the FDA, European Medicines Agency (“EMA”)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have limited resources and are currently focusing our efforts on ELVN-001 for development in particular indications and advancing our other research programs. As a result, we may fail to capitalize on programs,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prospects depend in large part upon developing and commercializing ELVN-001 and discovering, developing and commercializing product candidates from our other research programs, and failure to successfully identify, develop and commercialize additional product candidates could impair our ability to grow.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If clinical trials of our product candidates fail to demonstrate safety and efficacy to the satisfaction of regulatory authorities or do not otherwise produce positive results, or if FDA disagrees with our clinical trial design or our interpretation of the data, we would incur additional costs or experience delays in completing, or ultimately be unable to complete, the development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be required by regulatory authorities to develop and obtain approval for a companion diagnostic in connection with the approval of our product candidate, which could result in additional costs, delays, or failure to obtain approval in certain indications.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success depends on our ability to protect our intellectual property and our proprietary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market price of our common stock may be volatile and may drop.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will need substantial additional funding before we can complete the development of our product candidates. If we are unable to obtain such additional capital on favorable terms, on a timely basis or at all, we would be forced to delay, reduce or eliminate our product development and clinical programs and may not have the capital required to otherwise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have incurred and will continue to incur additional costs and increased demands upon management as a result of complying with the laws and regulations affecting public companies.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We are early in our development efforts, with a limited operating history, and we have no products approved for commercial sale, which may make it difficult for you to evaluate our current business and likelihood of success and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are a clinical-stage biopharmaceutical company with a limited operating history upon which you can evaluate our business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Former Enliven commenced operations in June 2019, has never completed a clinical trial, has no products approved for commercial sale and has never generated any revenue. Drug development is a highly uncertain undertaking and involves a substantial degree of risk. We are devoting substantially all of our resources to developing ELVN-001, research and development activities, clinical trial activities, business planning, establishing and maintaining our intellectual property portfolio, hiring personnel, raising capital, and providing general and administrative support for these operations. We are currently evaluating ELVN-001 in a Phase 1 clinical trial in adults with chronic myeloid leukemia ("CML"). To prioritize the advancement of ELVN-001 and its upcoming pivotal trial, we are exploring strategic alternatives for the ELVN-002 program and are no longer pursuing its development. We have not initiated clinical trials for any other product candidate.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June 2026 at the European Hematology Association 2026 Congress, we presented positive updated clinical data from the ENABLE trial. However, we have not yet demonstrated our ability to complete any clinical trials, obtain marketing approvals, manufacture a commercial-scale product or arrange for a third party to do so on our behalf, develop any required companion diagnostic, or conduct sales and marketing activities necessary for successful product commercialization. As a result, it may be more difficult for investors to accurately predict our likelihood of success and viability than it could be if we had a longer operating history.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we may encounter unforeseen expenses, difficulties, complications, delays and other known and unknown factors and risks frequently experienced by early-stage biopharmaceutical companies in rapidly evolving fields. We also expect that, as we advance our product candidates, we will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have incurred significant net losses and we expect to continue to incur significant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have incurred significant net losses, have not generated any revenue to date and have financed our operations primarily through the issuance of our common and convertible preferred stock. Our net loss was $56.1 million for the six months ended June 30, 2026. As of June 30, 2026, we had an accumulated deficit of $403.3 million. We are still in the very early stages of development of our product candidates and have not yet completed any clinical trials. As a result, we expect that it will be many years, if ever, before we have commercialized a product and can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have never generated revenue from product sales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have never generated any revenue from commercial product sales. 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manufacturing, marketing and selling those products that are approved and satisfying any post-marketing requirements. We do not anticipate generating any revenue from product sales for many years, if ever. Our ability to generate revenue and achieve profitability depends significantly on our ability to achieve several objectives,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successful and timely completion of clinical development of ELVN-001 and any other product candidates, and preclinical and clinical development of other research programs and any other future programs, and/or development of a companion diagnostic, if required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establishing and maintaining relationships with CROs, CMOs and clinical sites for the clinical development of ELVN-001 and any other programs, both in the United States and internationally, including Europe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developing an efficient and scalable manufacturing process for our product candidates, including obtaining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establishing and maintaining commercially viable supply and manufacturing relationships with third parties that can provide adequate products and services, in both amount and quality, to support any combination studies for ELVN-001, comparator arms of our clinical trials, and clinical development and meet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 continued acceptable safety profile following any marketing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commercial acceptance of our product candidates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satisfying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identifying, assessing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obtaining and maintaining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addressing any competing therapies and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addressing any impact of global trade tensions, including any trade restrictions or tariffs imposed by the United States or by other countries, including in response to U.S. tariffs;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attracting, hiring and retaining qualified personnel.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Any changes in the manufacturing process, suppliers,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 We are pursuing potential alternative tablet formulations for the ELVN-001 program. If we pursue other changes to any of our product candidates, the FDA and other regulatory authorities may require additional studies, including bridging studies, which may significantly delay our clinical trial timelines and regulatory approval.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have not submitted a New Drug Application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candidate. We cannot be certain that our current or future product candidates will be successful in clinical trials or receive regulatory approval. If we do not receive regulatory approvals for current or future product candidates or companion diagnostics, as applicable, we may not be able to continue our operations. Even if we successfully obtain regulatory approval to market a product candidate, our revenue will depend, in part, upon the size of the markets in the territories for which we receive regulatory approval and have commercial rights, the availability of competitive therapies and whether there are sufficient levels of reimbursement and adoption by physicians.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We are very early in our development efforts. In addition, we are substantially dependent on ELVN-001. If we are unable to advance ELVN-001 through clinical development, obtain regulatory approval and ultimately commercialize or license ELVN-001,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are very early in our development efforts. We are currently evaluating ELVN-001 in a Phase 1 clinical trial in adults with CML. To prioritize the advancement of ELVN-001 and its upcoming pivotal trial, we are exploring strategic alternatives for the ELVN-002 program and are no longer pursuing its development. We have not initiated clinical trials for any other product candidate, and we may experience unexpected or adverse results in the future. We will be required to demonstrate thorough, adequate and well-controlled clinical trials that our product candidates are safe and effective, with a favorable benefit-risk profile, for use in their target indications before we can seek regulatory approvals for their commercial sale. Our initial clinical trials will begin with relatively small cohorts before expanding in size in subsequent cohorts. If safety issues arise in an early cohort, we may be delayed or prevented from subsequently expanding into larger trial cohorts. If clinical trials of our product candidates fail to demonstrate adequate safety and/or efficacy to the satisfaction of regulatory authorities or do not otherwise produce positive results, or if FDA disagrees with our clinical trial design or our interpretation of the data, our ability to advance the product candidates through development phase may be materially delayed, may be suspended or terminated, and the costs of development may increase. If FDA raises material concerns and objects to our study protocol or our statistical plan at any stage of clinical development, such as the design of our phase 3 or registrational trial, we may not be able to proceed until we can adequately address FDA’s concerns. Our ability to generate product revenue, which we do not expect will occur for many years, if ever, will depend heavily on the successful clinical development and eventual commercialization or licensing of ELVN-001. We are not permitted to market or promote any product candidate before it receives marketing approval from the FDA, EMA or any comparable foreign regulatory authorities, and we may never receive such marketing approvals.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will be required to demonstrate with substantial evidence through well-controlled clinical trials that our product candidates are safe and effective for use in a diverse population before we can seek marketing approvals for their commercial sale. Preclinical and clinical testing is expensive and can take many years to complete, and the outcome is inherently uncertain. Failure can occur at any time during the preclinical study and clinical trial processes, and, because our product candidates are in early stages of development, there is a high risk of failure and we may never succeed in developing marketable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results of preclinical studies may not be predictive of the results of clinical trials of our product candidates. Moreover, the results of early clinical trials may not be predictive of the results of later-stage clinical trials. Although product candidates may demonstrate promising results in preclinical studies and early clinical trials, they may not prove to be safe or effective in subsequent clinical trials. Favorable results from certain animal studies may not accurately predict the results of other animal studies or of human trials, due to the inherent biologic differences in species, the differences between testing conditions in animal studies and human trials, and the particular goals, purposes, and designs of the relevant studies and trials.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There is typically an extremely high rate of attrition from the failure of product candidates proceeding through preclinical studies and clinical trials. Product candidates in later stages of clinical trials may fail to show the desired safety and efficacy profile despite having progressed through preclinical studies and initial clinical trials. Likewise, early, smaller-scale clinical trials may not be predictive of eventual safety or effectiveness in large-scale pivotal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products. The development of our product candidates and our stock price may also be impacted by inferences, whether correct or not, that are drawn between the success or failure of preclinical studies or clinical trials of our competitors or other companies in the biopharmaceutical industry, in addition to our own preclinical studies and clinical trials.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Any preclinical studies or clinical trials that we conduct may not demonstrate the safety and efficacy necessary to obtain regulatory approval to market our product candidates. If the results of our ongoing or future preclinical studies and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do not know whether any preclinical studies or clinical trials we may conduct will demonstrate consistent or adequate efficacy and safety sufficient to obtain approval to market any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have limited resources and are currently focusing our efforts on ELVN-001 for development in particular indications and advancing our other research programs. As a result, we may fail to capitalize on programs,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are currently focusing our resources and efforts on ELVN-001 and advancing our other research programs. To prioritize the advancement of ELVN-001 and its upcoming pivotal trial, we are exploring strategic alternatives for the ELVN-002 program and are no longer pursuing its development. Because we have limited financial and managerial resources, we must focus on a limited number of research programs and product candidates and on specific indications. As a result, we may forgo or delay pursuit of opportunities for other indications or with other product candidates that may have greater commercial potential. Our resource allocation decisions may cause us to fail to capitalize on viable commercial products or profitable market opportunities. Our spending on current and future research and development activities for ELVN-001 and our other research programs, including the development of any combination drug products or companion diagnostics, may not yield any commercially viable products. If we do not accurately evaluate the commercial potential or target markets for ELVN-001 and our other research programs, or the product candidates we are currently developing in these programs, we may relinquish valuable rights to our product candidates or programs through collaborations, licensing or other strategic arrangements in cases in which it would have been more advantageous for us to retain sole development and commercialization rights to such product candidate or program.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prospects depend in large part upon developing and commercializing and/or otherwise licensing ELVN-001 and discovering, developing and commercializing product candidates from our other research programs, and failure to successfully identify, develop and commercialize additional product candidates could impair our</w:t>
      </w:r>
      <w:r>
        <w:rPr>
          <w:rFonts w:ascii="Times New Roman" w:hAnsi="Times New Roman"/>
          <w:color w:val="000000"/>
          <w:sz w:val="20"/>
        </w:rPr>
        <w:t xml:space="preserve"> </w:t>
      </w:r>
      <w:r>
        <w:rPr>
          <w:rFonts w:ascii="sans-serif" w:hAnsi="sans-serif"/>
          <w:b/>
          <w:i/>
          <w:color w:val="000000"/>
          <w:sz w:val="20"/>
        </w:rPr>
        <w:t>ability to grow.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future operating results are dependent on our ability to successfully discover, develop, obtain regulatory approval for and commercialize product candidates including ELVN-001 and product candidates from our other research programs, including the development of any combination drug products or companion diagnostics, or entering into, on favorable terms, any collaboration, licensing or other arrangements that may be necessary or desirable to develop or commercialize our product candidates. A product candidate can unexpectedly fail at any stage of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success of ELVN-001 and other product candidates we may develop will depend on many factors,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successful and timely initiation and completion of preclinical studies and clinical trials, including generating sufficient data to support the initiation or continuation of non-clinical studies and clinical trials, including data that demonstrates improved efficacy, safety, and patient convenience compared to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successful development of combination drug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successful development of a companion diagnostic, if required for regulatory approval of any product;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obtaining institutional review board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approval of INDs for our planned clinical trials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timely manufacture of sufficient quantities of a product candidate for use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successful and timely patient recruitment, selection and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maintaining and establishing relationships with CROs, CMOs and clinical sites for the clinical development of our product candidates both in the United States and internationally, including in Europe, China and in other countries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frequency and severity of adverse events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demonstrating efficacy, safety and tolerability profiles that are satisfactory to the FDA, EMA or any comparable foreign regulatory authority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timely 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maintenance of existing or the establishment of new supply arrangements with third-party drug product suppliers and manufacturers for clinical development, combination studies, and, if approved,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obtaining and maintaining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protection of our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successful launch of commercial sales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commercial acceptance by patients, the medical community and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compete with other therapies.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do not have complete control over many of these factors, including certain aspects of preclinical and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any product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from ELVN-001, which would materially harm our business. If we do not receive marketing approvals for such product candidates, we may not be able to continue our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Although a substantial amount of our efforts will focus on the continued preclinical and clinical testing and potential approval of our product candidates in our current pipeline, we expect to continue to innovate and potentially expand our portfolio. Research programs to identify product candidates may require substantial additional technical, financial and human resources, whether or not any new potential product candidates are ultimately identified. Our success may depend in part upon our ability to identify, select and develop promising product candidates and therapeutics. We may expend resources and ultimately fail to discover and generate additional product candidates suitable for further development. Even if we successfully advance any product candidates into preclinical and clinical development, their success will be subject to all of the preclinical, clinical, regulatory and commercial risks described elsewhere in this section. All product candidates are prone to risks of failure typical of biotechnology product development, including the possibility that a product candidate may not be suitable for clinical development as a result of its harmful side effects, limited efficacy or other characteristics indicating that it is unlikely to receive approval by the FDA, the EMA and other comparable foreign regulatory authorities and achieve market acceptance. If we do not successfully develop, commercialize and/or license ELVN-001, or if we do not successfully identify, develop and commercialize new product candidates, our business, prospects, financial condition and results of operations could be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clinical trials of our product candidates fail to demonstrate safety and efficacy to the satisfaction of regulatory authorities or do not otherwise produce positive results, or if FDA disagrees with our clinical trial design or our interpretation of the data, we would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Before obtaining marketing approval from regulatory authorities for the sale of our product candidates, we must conduct preclinical studies in animals and extensive clinical trials in humans to demonstrate the safety and efficacy of the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We do not know whether the clinical trials we may conduct will demonstrate adequate efficacy and safety to result in regulatory approval to market any of our product candidates in any jurisdiction. Our product candidates may fail to demonstrate efficacy in humans, and particularly across tumor types. If FDA disagrees with our clinical trial design or our interpretation of the data, our regulatory approval or ability to advance the product candidates through development phase may be materially delayed, may be suspended or terminated, and the costs of development may increase. If FDA raises material concerns and objects to our study protocol or our statistical plan at any stage of clinical development, we may not be able to proceed until we can adequately address FDA’s concerns. A product candidate may fail for safety or efficacy reasons at any stage of the testing process. A major risk we face is the possibility that none of our product candidates under development will successfully gain market approval from the FDA, EMA or other comparable foreign regulatory authorities, resulting in our being unable to derive any commercial revenue from them after investing significant amounts of capital in their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If the results of our ongoing or future preclinical studies and future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and efficacy results between different clinical trials of the same product candidate due to numerous factors, including changes in trial protocols, differences in size and type of patient populations, differences in comparator drugs or treatment procedures or different treatment groups, differences in and adherence to the dose and dosing regimen and other trial protocols and the rate of dropout among clinical trial participants.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is typically the case with oncology drugs, there have been adverse events associated with the use of our product candidates and there could be adverse events caused by our product candidates in the future. Results of our future trials could reveal a high and unacceptable severity and prevalence of side effects, toxicities or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 For example, our trials could be suspended or terminated and the FDA, EMA or comparable foreign regulatory authorities or an IRB could order us to suspend clinical trials, cease further development of or deny approval of our product candidates for any or all targeted indications. This could require us to interrupt, delay or abandon their development or limit development to more narrow uses or subpopulations in which the undesirable side effects or other characteristics are less prevalent, less severe or more acceptable from a risk-benefit perspective.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Treatment-related side effects have resulted, and could result in additional patients dropping out of our trials, and could affect patient recruitment and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addition, our product candidates may be used in populations for which safety concerns may be particularly scrutinized by regulatory agencies. In addition, our product candidates may be studied in combination with other therapies, which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Further, our product candidates could cause undesirable side effects in clinical trials related to on-target toxicity. If on-target toxicity is observed, or if our product candidates have characteristics that are unexpected, we may need to abandon our development or limit development to more narrow indications or subpopulations in which the undesirable side effects or other characteristics are less prevalent, less severe or more acceptable from a risk-benefit perspective. Many compounds that initially showed promise in early-stage testing for treating cancer have later been found to cause side effects that prevented further development of the compound.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Even if the side effects do not preclude the product candidate from obtaining or maintaining marketing approval, undesirable side effects may inhibit market acceptance due to the tolerability of our products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including “black box” warnings,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early clinical settings, among other goals.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 candidate’s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Applications for our product candidates could fail to receive regulatory approval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FDA, EMA or other comparable foreign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population studied in the clinical trial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FDA, EMA or other comparable foreign regulatory authorities may disagree with our clinical trial design, safety monitoring plan, statistical plan, or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be unable to demonstrate to the FDA, EMA or other comparable foreign regulatory authorities that a product candidate’s risk-benefit ratio for our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FDA, EMA or other comparable foreign regulatory authorities may fail to approve the manufacturing processes, test procedures and specifications or facilities of third-party manufacturers with which we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FDA, EMA or other comparable regulatory authorities may fail to approve companion diagnostics required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approval policies or regulations of the FDA, EMA or other comparable foreign regulatory authorities may significantly change in a manner rendering our clinical data insufficient for approval.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 xml:space="preserve">In addition, the FDA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June 2024, the U.S. Supreme Court overruled the </w:t>
      </w:r>
      <w:r>
        <w:rPr>
          <w:rFonts w:ascii="sans-serif" w:hAnsi="sans-serif"/>
          <w:i/>
          <w:color w:val="000000"/>
          <w:sz w:val="20"/>
        </w:rPr>
        <w:t>Chevron</w:t>
      </w:r>
      <w:r>
        <w:rPr>
          <w:rFonts w:ascii="Times New Roman" w:hAnsi="Times New Roman"/>
          <w:color w:val="000000"/>
          <w:sz w:val="20"/>
        </w:rPr>
        <w:t xml:space="preserve"> </w:t>
      </w:r>
      <w:r>
        <w:rPr>
          <w:rFonts w:ascii="sans-serif" w:hAnsi="sans-serif"/>
          <w:color w:val="000000"/>
          <w:sz w:val="20"/>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If we are required by the FDA or comparable regulatory authorities to obtain approval of a companion diagnostic in connection with approval of any of our product candidates or a group of therapeutic products, and we do not obtain or we face delays in obtaining approval of a companion diagnostic, we will not be able to commercialize the product candidate and our ability to generate revenue will be materially impaired.</w:t>
      </w:r>
    </w:p>
    <w:p>
      <w:pPr>
        <w:pStyle w:val="TextBody"/>
        <w:bidi w:val="0"/>
        <w:spacing w:before="120" w:after="283"/>
        <w:jc w:val="left"/>
        <w:rPr>
          <w:rFonts w:ascii="Times New Roman" w:hAnsi="Times New Roman"/>
          <w:sz w:val="20"/>
        </w:rPr>
      </w:pPr>
      <w:r>
        <w:rPr>
          <w:rFonts w:ascii="sans-serif" w:hAnsi="sans-serif"/>
          <w:color w:val="000000"/>
          <w:sz w:val="20"/>
        </w:rPr>
        <w:t>We are a clinical-stage biopharmaceutical company aiming to address existing and emerging unmet needs with a precision medicine approach. If we are required by the FDA or comparable regulatory authorities to obtain approval of a companion diagnostic in connection with approval of any of our product candidates, we expect such companion diagnostic would be used during our more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advanced phase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is essential to the safe and effective use of a novel therapeutic product or indication, the FDA generally will not approve the therapeutic product or new indication if the companion diagnostic is not also approved or cleared at the same time the product candidate is generally approved or approved for such indication.</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The approval of a companion diagnostic as part of the therapeutic product’s labeling limits the use of the therapeutic product to only those patients who express certain biomarkers or the specific genomic alteration that the companion diagnostic was developed to detect. The FDA or a comparable regulatory authority may require approval of a companion diagnostic for any of our product candidates, whether before or concurrently with approval of the product candidate or for a specific indication.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In June 2023, the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("LDTs") and to ensure more consistent performance of these tests for drug selection and improved cancer patient care. In April 2024, the FDA issued a final rule that amends the FDA’s regulations to make explicit that in vitro diagnostics (“IVDs”) are devices under the Federal Food, Drug, and Cosmetic Act, including when the manufacturer of the IVD is a laboratory, and phases out its enforcement discretion for LDTs. On March 31, 2025, the U.S. District Court in Texas ruled that the FDA exceeded its authority and vacated and set aside the FDA LDT final rule in its entirety. To the extent regulatory changes impact how any companion diagnostic or LDT used to identify eligible patients for ELVN-001 or any other product candidate is validated, labeled, or reimbursed, we will need to coordinate such changes with our regulatory submissions for the product candidate, which may delay our regulatory approval. We will continue to evaluate the impact of future lawsuits brought against the FDA as well as future legislative and administrative actions on companion diagnostic development and strategy. Future regulation by the FDA and other regulatory developments in this area may impact our companion diagnostic development and strategy in connection with our product candidates and result in delays in regulatory approval. We may be required to conduct additional clinical trials to support a broader claim.</w:t>
      </w:r>
    </w:p>
    <w:p>
      <w:pPr>
        <w:pStyle w:val="TextBody"/>
        <w:bidi w:val="0"/>
        <w:jc w:val="left"/>
        <w:rPr>
          <w:rFonts w:ascii="sans-serif" w:hAnsi="sans-serif"/>
          <w:color w:val="000000"/>
          <w:sz w:val="20"/>
        </w:rPr>
      </w:pPr>
      <w:r>
        <w:rPr>
          <w:rFonts w:ascii="sans-serif" w:hAnsi="sans-serif"/>
          <w:color w:val="000000"/>
          <w:sz w:val="20"/>
        </w:rPr>
        <w:t>Additionally, we generally expect to rely on third parties for the design, development and manufacture of companion diagnostics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that we anticipate using in connection with development and commercialization of product candidates or our relationship with such diagnostic company may otherwise terminate. In addition, such diagnostic company may not agree to commercialize the companion diagnostic in all the countries in which we may sell our product candidates.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have limited experience as a company in designing and conducting clinical trials.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The design and implementation of clinical trials is a complex process. We have limited experience as a company in designing and conducting clinical trials. We are currently evaluating ELVN-001 in a Phase 1 clinical trial in adults with CML. However, we have not initiated clinical trials for any other product candidate and we may experience unexpected or adverse results in the future. In part because of this lack of experience as a company and our limited infrastructure, we cannot be certain that our ongoing and planned preclinical studies and clinical trials will be completed on time, that we will successfully or cost-effectively design and implement clinical trials that achieve the desired clinical endpoints efficiently, or at all. The FDA or other regulatory authorities may disagree with our trial design or our interpretation of the data, which can delay our regulatory approval or require us to collect more data than initially planned. Large-scale clinical trials would require significant additional financial and management resources and reliance on CROs and consultants. Relying on third-party clinical investigators, CROs and consultants may result in delays that are outside of our control. We may be unable to identify and contract with sufficient investigators, CROs and consultants on a timely basis or at all. There can be no assurance that we will be able to negotiate and enter into any necessary services agreement with CROs on terms that are acceptable to them on a timely basis or at all.</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Any delays in the commencement or completion, or termination or suspension of our planned or future clinical trials could result in increased costs, delay or limit our ability to generate revenue and adversely affect our commercial prospects. We may not be able to file INDs to commence clinical trials on the timelines we expect, and even if we are able to, the FDA, EMA or other comparable foreign regulatory authorities may not permit us to proceed.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Before we can initiate clinical trials of a product candidate in any indication, we must submit the results of preclinical studies to the FDA, EMA or other comparable foreign regulatory authorities along with other information, including information about the product candidate’s chemistry, manufacturing and controls and our proposed clinical trial protocol, as part of an IND or similar regulatory submission under which we must receive authorization to proceed with clinical development. Although we have received clearance of the IND for ELVN-001, the FDA, EMA or other comparable foreign regulatory authorities have required, and may in the future require, us to change our trial design or conduct additional studies before they allow us to initiate additional clinical trials at any time during clinical testing, clinical trial authorization or comparable application, which may lead to additional delays and increase the costs of our preclinical development programs. Further, changes in regulations in the United States and other countries may increase our compliance costs, make it more difficult to conduct trials in some countries or to implement global trials, or result in changes to our current clinical plans and timelines. Before obtaining marketing approval from the FDA of ELVN-001 or any other programs, we must conduct extensive clinical trials to demonstrate safety and efficacy. Clinical testing is expensive, time consuming and uncertain as to outcome. In addition, we expect to rely in part on preclinical, clinical and quality data generated by our CROs and other third parties for regulatory submissions for our product candidates. While we have or will have agreements governing these third parties’ services, we have limited influence over their actual performance. We could encounter delays because of the relocation to new corporate headquarters, which does not include laboratory space.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We may not be able to file INDs for future product candidates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could also encounter delays if a clinical trial is suspended or terminated by us, by the IRBs or independent ethics committees of the institutions in which such trials are being conducted, by a Data Safety Monitoring Board for such trial or by the FDA or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foreign regulatory authorities resulting in the imposition of a clinical hold, unforeseen safety issues or adverse events, failure to demonstrate a benefit from using a pharmaceutical, changes in governmental regulations or administrative actions or lack of adequate funding to continue the clinical trial. In addition, changes in regulatory requirements and policies may occur, and we may need to amend clinical trial protocols to comply with these changes. For example, the Clinical Trials Regulation EU No 536/2014 entered into application on January 31, 2022, which aims to harmonize and streamline clinical trial authorization, simplify adverse event reporting procedures, and increase clinical trial transparency. Changes to regulatory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requirements or the implementation of new requirements can increase the costs of compliance and expose us to great liabilities. Amendments may require us to resubmit our clinical trial protocols to IRBs or ethics committees for reexamination, which may impact the costs, timing or successful completion of a clinical trial. Certain of our investigators are also scientific advisors or consultants who receive compensation from us. Under certain circumstances, we may be required to report some of these relationships to the FDA.</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Although we expect any such relationships to be within the FDA’s guidelines,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 If we experience delays in the completion of, or termination of, any clinical trial of any product candidate, the commercial prospects of such product candidate will be harmed, and our ability to generate product revenues will be delayed. Moreover, any delays in completing our clinical trials will increase our costs, slow down our development and approval process and jeopardize our ability to commence product sales and generate revenues which may harm our business, financial condition, results of operations and prospects significantly. We may from time to time support investigator-sponsored trials conducted by academic institutions or other third-party investigators, and we may not have the same degree of control over the design, conduct, timing, data collection, reporting or publication of those trials as we have over Company-sponsored trials. If third-party investigators or institutions fail to comply with applicable protocols, GCP, safety reporting, data privacy, regulatory or other requirements, or if an investigator-sponsored trial generates adverse safety findings, negative or inconclusive efficacy data, intellectual property, publication or data-access disputes, or other results that are difficult to interpret, our development plans, regulatory strategy, proprietary position, reputation or business could be adversely affected.</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Interim, topline and preliminary data from our preclinical studies and clinical trials that we announce or publish from time to time may change as more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From time to time, we have publicly disclosed and may publicly disclose additional preliminary, interim or topline data from our preclinical studies and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has previously and could in the future result in volatility in the price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of our product candidates may be harmed, which could harm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we experience delays or difficulties in the recruitment, enrollment or maintenance of participants that meet the protocol criteria in clinical trials,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may not be able to initiate or continue clinical trials for our product candidates if we are unable to locate, recruit and enroll a sufficient number of eligible patients to participate in these trials to such trials' conclusion as required by the FDA, EMA or other comparable foreign regulatory authorities. Patient recruitment and enrollment are significant factors in the timing of clinical trials. Our ability to recruit and enroll eligible patients may be limited, and we have experienced and may in the future experience delays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recruitment and enrollment. Because there are effective, approved drugs and/or ongoing clinical trials being conducted for CML, it may make it difficult for us to recruit and enroll patients in our trials for the same indications. For example, CML patient recruitment and enrollment could have been and will likely be affected by the approval of Scemblix (asciminib) as well as our competitors that have ongoing clinical trials for programs that are under development for the same indications as our product candidates because patients who would otherwise be eligible for our clinical trials instead enroll in clinical trials of our competitors’ programs. Additionally, the CML patient population is relatively small and certain clinical trials for future product candidates may be focused on indications or lines of therapy with relatively small patient populations, or small enrollment-eligible patient populations, which may further limit enrollment of patients or may result in slower enrollment than we anticipate.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For each of our programs, we cannot be certain that the number of patients enrolled in each program will suffice for regulatory approval. If our strategies for patient identification, recruitment and enrollment prove unsuccessful, we may have difficulty enrolling or maintaining patients appropriate for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Patient recruitment and enrollment for our current or any future clinical trials has been and may continue to be affected by other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availability and efficacy of approved drugs for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patient eligibility criteria for the trial in question as defined in the protocol, including biomarker-driven identification and/or certain highly specific criteria related to stage of disease progression or line of therapy, which may limit the patient populations eligible for our clinical trials to a greater extent than competing clinical trials for the same indication that do not have biomarker-driven patient eligibility criteria or other enrollment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clinicians’ willingness to screen their patients for biomarkers to indicate which patients may be eligible for enrollment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treatment of patients at local facilities rather than central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policies and regulations or other executive orders related to clinical trials in foreign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risk that patients enrolled in clinical trials will drop out of the trials before completion or, because they may be late-stage cancer patients, will not survive the full terms of the clinical trials.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inability to recruit and enroll a sufficient number of patients for our clinical trials would result in significant delays or may require us to abandon one or more clinical trials altogether. We have established clinical trial sites in Israel, which may face recruitment, enrollment, retention, operational or other difficulties due to conflicts within the region, including, for example, difficulties importing clinical trial drug through Israeli customs, difficulties with patient recruitment, enrollment, or difficulties with patients or medical personnel accessing appropriate medical facilities. Enrollment delays in our clinical trials may result in increased development costs for our product candidates and jeopardize our ability to obtain marketing approval for the sale of our product candidates. Furthermore, even if we are able to recruit and enroll a sufficient number of patients for our clinical trials, we may have difficulty maintaining participation in our clinical trials through the treatment and any follow-up periods.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pharmaceutical and biotechnology industries are characterized by rapidly advancing technologies, intense competition and a strong emphasis on proprietary products. In particular, precision medicine is a very competitive space and we have chosen to prioritize addressing well-validated biological targets, and therefore we expect to face competition from existing products and products in development for each of our product candidates.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Mergers and acquisitions have resulted, and may result, in even more resources being concentrated in our competitors. As a result of all of these factors, our competitors may succeed in obtaining approval from the FDA, EMA or other comparable foreign regulatory authorities or in discovering, developing and commercializing product candidates in our field before we do.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commercial potential could be reduced or eliminated if our competitors develop and commercialize products that are safer or more effective, have fewer or less severe side effects, and are more convenient or less expensive than products that we may develop. Our competitors also may obtain FDA or other regulatory approval 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safety and patient convenience. Even if the product candidates we develop achieve marketing approval, they may be priced at a significant premium over competitive products if any have been approved by then, resulting in reduced competitiveness.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There are currently six BCR-ABL TKIs approved for use in CML by the FDA: Novartis AG’s Gleevec (imatinib), Tasigna (nilotinib), Scemblix (asciminib), Bristol Myers Squibb’s Sprycel (dasatinib), Pfizer’s Bosulif (bosutinib), and Takeda’s Iclusig (ponatinib), which are more fully described in the Business section of our Annual Report on Form 10-K filed with the SEC on March 3, 2026. There are investigational agents in clinical trials for CML. Olverembatinib, developed by Ascentage, is currently in Phase 1 and Phase 3 clinical trials; and MK-4208 (formerly, TERN-701) by Merck, and TGRX-678, developed by Shenzhen TargetRx, are in clinical development.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From time to time, we have experienced, and may in the future experience, deviations in the manufacturing process, including filling, labeling, packaging, storage and shipping and quality control and testing, which have resulted and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harm our business. The use of biologically derived ingredients can also lead to allegations of harm, including infections or allergic reactions, or closure of product facilities due to possible contamination.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if we change the formulation of ELVN-001, this could increase our costs and/or could delay regulatory approval.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Any of these changes could cause our product candidates to perform differently and affect the results of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In connection with alternative tablet formulations or other changes to any of our product candidates, the FDA and other regulatory authorities may require additional studies, including bridging studies, which may significantly delay our clinical trial timelines and regulatory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product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efficacy and safety profile as demonstrated in clinical trials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of market introduction of the product candidate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extent of adoption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clinical indications for which our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whether the product candidate is approved in early or late line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restrictions on the use of product candidates in the labeling approved by regulatory authorities, such as boxed warnings or contraindications in labeling, or a risk evaluation and mitigation strategy ("REMS"), if any, which may not be required of alternative treatments and competitor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cost of treatment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availability of coverage and adequate reimbursement by third-party payors, including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willingness of the target patient population to try new therapies and undergo required diagnostic screening to determine treatment eligibility and of physicians to prescribe these therapies and diagnostic tests;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effectiveness of sales and marketing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unfavorable publicity relating to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approval of other new therapies for the same indications.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The market opportunities for any product candidates we develop, if approved, may be limited to certain smaller patient subsets and may be smaller than we estimate them to be.</w:t>
      </w:r>
    </w:p>
    <w:p>
      <w:pPr>
        <w:pStyle w:val="TextBody"/>
        <w:bidi w:val="0"/>
        <w:spacing w:before="120" w:after="283"/>
        <w:jc w:val="left"/>
        <w:rPr>
          <w:rFonts w:ascii="Times New Roman" w:hAnsi="Times New Roman"/>
          <w:sz w:val="20"/>
        </w:rPr>
      </w:pPr>
      <w:r>
        <w:rPr>
          <w:rFonts w:ascii="sans-serif" w:hAnsi="sans-serif"/>
          <w:color w:val="000000"/>
          <w:sz w:val="20"/>
        </w:rPr>
        <w:t>First-line (“1L”) therapies designate treatments that are initially administered to patients newly diagnosed with a disease, while second-line (“2L”) and third-line (“3L”) or later line therapies are administered to patients who develop resistance or intolerance to prior lines of therapy. The FDA, EMA and other comparable foreign regulatory bodies often approve therapies for a particular line of treatment or for diseases with specific resistance mutations. Typically, if there are already drugs available in an indication, drug approvals are initially granted for use in later lines of treatment, but with additional evidence of significant efficacy and improved tolerability from clinical trials, biopharmaceutical companies can successfully seek and gain approval for use in earlier lines of treatment or broader patient populations.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Our belief in and estimates of the market opportunity for any product candidates that we develop is based on projections of both the number of people living with the disease, as well as the subset of people in a position to receive a particular line of therapy and who have the potential to benefit from treatment with our product candidates. These estimates have been derived from a variety of sources, including scientific literature, surveys of clinics, patient foundations or market research, and may prove to be incorrect. Further, as treatment paradigms evolve and newer therapies or other therapeutics become available, this may alter the prevalence and characteristics of the patient population, potentially affecting the size and composition of the patient populations of each line of therapy for which our product candidates are being developed</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0"/>
        </w:rPr>
        <w:t>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Even if we obtain significant market share for our products, if approved, if the potential target populations are small, we may never achieve profitability without obtaining regulatory approval for additional indications or earlier lines of therapy.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face risks related to public health emergencies, health epidemics (including COVID-19) or other outbreaks, which could significantly disrupt our operations or otherwise result in material adverse impacts to us.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Our business could be adversely impacted by the effects of public health emergencies, health epidemics (including COVID-19) or other outbreaks,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delays or difficulties in clinical site initiation, including difficulties in recruiting clinical site investigators and clinical site staff;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difficulties interpreting data from our clinical trials due to the possible effects of public health emergencies, health epidemics or other outbreaks on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interruption of key preclinical and clinical trial activities, such as clinical trial site monitoring, due to limitations on travel imposed or recommended by federal or state governments, employers and others, or due to restricted or limited operations of the CROs conducting such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interruption or delays in the operations of the FDA, EMA or other regulatory authorities, which may impact review and approval timelines;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diversion of healthcare resources away from the conduct of clinical trials, including the diversion of hospitals serving as our clinical trial sites and hospital staff supporting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limitations in resources that would otherwise be focused on the conduct of our business, our preclinical studies or our clinical trials, including because of sickness or the desire to avoid contact with large groups of people or as a result of government-imposed “shelter in place” or similar working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delays in receiving approval from regulatory authorities to initiate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delays in clinical sites receiving the supplies and materials needed to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interruption in global freight and shipping that may affect the transport of clinical trial materials, such as investigational drug product to be used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changes in regulations as part of a response to public health emergencies, health epidemics or other outbreaks which may require us to change the ways in which our clinical trials are to be conducted, or to discontinue the clinical trials altogether, or which may result in unexpected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delays in necessary interactions with regulators, ethics committees and other important agencies and contractors due to limitations in employee resources or forced furlough of government or contractor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refusal of the FDA, EMA or other regulatory authorities to accept data from clinical trials in affected geographies outside of their respective jurisdictions.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extent to which any public health concerns or other disruptions impact our results will depend on future developments, which are highly uncertain and cannot be predicted. There can be no assurance that we will be able to avoid a material impact on our business, financial condition and operating results from a public health emergency, health epidemic or its consequences, including disruption to our business and downturns in business sentiment generally or in our industry.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i/>
          <w:color w:val="000000"/>
          <w:sz w:val="20"/>
        </w:rPr>
        <w:t>Any product candidates we develop may become subject to unfavorable third-party coverage and reimbursement practices, as well as pricing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 xml:space="preserve">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Any actions by federal and state governments, such as the Inflation Reduction Act of 2022 (“IRA”), and health plans aimed at putting additional downward pressure on pharmaceutical pricing and health care costs could negatively impact coverage and reimbursement for our product candidates if approved, our revenue, and our ability to compete with other marketed products and to recoup the costs of our research and development. For further discussion, see </w:t>
      </w:r>
      <w:r>
        <w:rPr>
          <w:rFonts w:ascii="sans-serif" w:hAnsi="sans-serif"/>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sans-serif" w:hAnsi="sans-serif"/>
          <w:color w:val="000000"/>
          <w:sz w:val="20"/>
        </w:rPr>
        <w:t>.” For example, in April 2025, the President issued an executive order and an accompanying fact sheet focused on lowering drug prices, but it is unclear what actions will be implemented by HHS, CMS, and FDA under the current leadership, and how those actions will impact our industry and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companion diagnostics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to coverage and reimbursement policies of payors, the commercial success of our product candidates, if approved, will also be impacted by healthcare regulations and legislations that impact prescription drug pricing.</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business entails a significant risk of product liability and if we are unable to obtain sufficient insurance coverage such inability could have an adverse effect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additional product candidates into clinical trials or marketing any of our product candidates, if approved. Any insurance we have or may obtain may not provide sufficient coverage against potential liabilities. Furthermore, clinical trial and product liability insurance is expensive and may increase over time. As a result, we may be unable to obtain sufficient insurance at a reasonable cost to protect us against losses caused by product liability claims that could have an adverse effect on our business and financial condition.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We may develop our current or future product candidates in combination with other therapies, which would expose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As part of our development strategy, we are seeking strategic collaborations to develop our current or future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or our future third party collaborators may also evaluate our current or future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Further, under the leadership at the HHS under the current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Recent developments at the FDA include implementation of Elsa, a generative AI tool, across all centers at the agency, announcement of a plan to phase out animal testing for monoclonal antibodies and certain other drugs, expanded use of unannounced inspections of foreign manufacturing facilities, and the announcement of a new Commissioner’s National Priority Voucher (“CNPV”)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FDA’s “real-time” release of newly issued Complete Response Letters (“CRLs”) associated with pending, withdrawn or abandoned applications, if applicable to any of our product candidates, can materially impact our competitive advantage and intellectual property and may require us to coordinate FDA communications with our public disclosure obligations. It is unclear how our industry and our clinical programs will be impacted by policies and regulations implemented under the current administration and FDA commissioner,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our correspondence, inspections and regulatory review processes with the FDA may be materially delayed.</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have never commercialized a product candidate as a company before and currently lack the necessary expertise, personnel and resources to successfully commercialize any products on our own or together with suitable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have never commercialized a product candidate as a company.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The FDA, EMA and other comparable foreign regulatory authorities may not accept data from trials conducted in locations outside of their jurisdiction.</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We currently conduct our clinical trials for ELVN-001 in Australia, Belgium, Canada, China, France, Germany, Hungary, Israel, Italy, Japan, the Netherlands, Poland, South Korea, Spain, the United Kingdom, and the United States. In the future, we may conduct clinical trials for ELVN-001 in other countries, including but not limited to Brazil, Bulgaria, Czech Republic, Denmark, Norway, Singapore, Sweden, Taiwan and Turkey. We plan to conduct clinical trials for future candidates in the United States and internationally. The acceptance of study data by the FDA, EMA or other comparable foreign regulatory authority from clinical trials conducted outside of their respective jurisdictions may be subject to certain conditions, and we may face difficulties or challenges in connection with the collection, transfer across borders, or other use or processing of study data. For example, the FDA has declined to approve other applications that contained primarily China-generated clinical data.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our applicable jurisdiction. In some cases, the regulatory authority may require clinical trials to include patients in their jurisdiction to support regulatory approval. If we are unable to obtain or utilize appropriate study data for any reason, including any failure or refusal to accept study data by the FDA, EMA or any applicable foreign regulatory authority,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fail, or if any future collaborator fails, to comply with the regulatory requirements in international markets or fails to receive applicable marketing approvals, our target market will be reduced and our ability to realize the full market potential of our potential product candidates will be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approve our product candidates, which could entail requirements for a medication guide, physician training and communication plans or additional elements to ensure safe use, such as restricted distribution methods, patient registries and other risk minimization tools.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addition, if the FDA, EMA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manufacturers of drug products and their facilities are subject to continual review and periodic, unannounced inspections by the FDA, EMA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us to administrative or judicially imposed sanctions,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delays in or the rejection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suspension or restrictions on our ability to conduct clinical trials, including full or partial clinical holds on ongoing or planned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consent decrees, injunctions or imposition of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product seizures, detentions, or export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voluntary or mandatory product recalls, withdrawals, and/or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total or partial suspension of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imposition of restrictions on operations, including costly new manufacturing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restrictions or revisions to the labeling, including limitation on approved uses or the addition of additional warnings, contraindications or other safety information,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imposition of a REMS, which may include distribution or use restrictions;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requirements to conduct additional post-market clinical trials to assess the safety of the product.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FDA, EMA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Changes to existing policies and regulations can increase our compliance costs or delay our clinical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The FDA, EMA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If any of our product candidates are approved and we are found to have improperly promoted off-label uses of those products, we may become subject to significant liability. The FDA, EMA and other regulatory agencies strictly regulate the promotional claims that may be made about prescription products, such as our product candidates, if approved. In particular, a product may not be promoted in the United States for uses that are not approved by the FDA as reflected in the product’s approved labeling, or in other jurisdictions for uses that differ from the labeling or uses approved by the applicable regulatory agencies. While physicians may prescribe products for off-label uses, the FDA, EMA and other regulatory agencies actively enforce laws and regulations that prohibit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the promotion of off-label uses by companies, including promotional communications made by companies’ sales forces with respect to off-label uses that are not consistent with the approved labeling, and a company that is found to have improperly promoted off-label uses may be subject to significant liability, including civil, criminal and administrative penalties. The occurrence of any event or penalty described above may inhibit our ability to commercialize our product candidates, if approved, and generate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Where appropriate, we plan to secure approval from the FDA, EMA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Where possible, we plan to pursue accelerated development strategies in areas of high unmet need. We may seek an accelerated approval pathway for one or more of our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an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However, because our product candidates are in early development, there can be no assurance that the FDA will permit us to utilize an expedited approval process for any of our product candidates. If granted, accelerated approval is usually contingent on the sponsor’s agreement to conduct, in a diligent manner, additional post-approval confirmatory studies to verify and describe the drug’s clinical benefit. Even if our product candidates are granted a designation or qualify for expedited development, it may not actually lead to faster development or expedited regulatory review and approval or increase the likelihood that they will receive FDA approval. For example, if such post-approval studies fail to confirm the drug’s clinical benefit, the FDA may withdraw its approval of the drug.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Prior to seeking accelerated approval, we will seek feedback from the FDA, EMA or comparable foreign regulatory authorities and will otherwise evaluate our ability to seek and receive such accelerated approval. ELVN-001 has received Fast Track designation from the FDA, but there can be no assurance that this designation will result in faster development or regulatory review or approval, or that we will receive or maintain any other expedited development, review or approval designation.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Fast Track designation or Breakthrough Therapy designation), there can be no assurance that such submission or application will be accepted or that any expedited development, review or approval will be granted on a timely basis, or at all, because the FDA’s accelerated approval pathways do not guarantee an accelerated review by the FDA.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July 2025, the FDA announced the start of the CNPV pilot program, which provides an opportunity for companies selected for the pilot program to reduce drug/biologic review times from 10-12 months to just 1-2 months. The CNPV program was first announced in June 2025 and is focused on accelerating FDA review for companies developing drugs/biologics that are aligned with critical U.S. national health priorities, such as addressing U.S. public health crisis, addressing a large unmet need, increasing affordability, and onshoring drug development and manufacturing to advance the health interests of Americans and strengthen U.S. supply chain resiliency. There can be no assurance that we will qualify for the CNPV pilot program and it is possible that our competitors could qualify for the CNPV pilot program which could</w:t>
      </w:r>
      <w:r>
        <w:rPr>
          <w:rFonts w:ascii="Times New Roman" w:hAnsi="Times New Roman"/>
          <w:color w:val="000000"/>
          <w:sz w:val="20"/>
        </w:rPr>
        <w:t xml:space="preserve"> </w:t>
      </w:r>
      <w:r>
        <w:rPr>
          <w:rFonts w:ascii="sans-serif" w:hAnsi="sans-serif"/>
          <w:color w:val="000000"/>
          <w:sz w:val="20"/>
        </w:rPr>
        <w:t>harm our competitive position in the marketplace.</w:t>
      </w:r>
      <w:r>
        <w:rPr>
          <w:rFonts w:ascii="Times New Roman" w:hAnsi="Times New Roman"/>
          <w:color w:val="000000"/>
          <w:sz w:val="20"/>
        </w:rPr>
        <w:t xml:space="preserve"> </w:t>
      </w:r>
    </w:p>
    <w:p>
      <w:pPr>
        <w:pStyle w:val="TextBody"/>
        <w:bidi w:val="0"/>
        <w:jc w:val="left"/>
        <w:rPr>
          <w:rFonts w:ascii="sans-serif" w:hAnsi="sans-serif"/>
          <w:b/>
          <w:i/>
          <w:color w:val="000000"/>
          <w:sz w:val="20"/>
        </w:rPr>
      </w:pPr>
      <w:r>
        <w:rPr>
          <w:rFonts w:ascii="sans-serif" w:hAnsi="sans-serif"/>
          <w:b/>
          <w:i/>
          <w:color w:val="000000"/>
          <w:sz w:val="20"/>
        </w:rPr>
        <w:t>ELVN-001 has received Fast Track designation from the FDA, and where possible, we plan to seek Fast Track designation for other product candidates. Even if we receive Fast Track designation for a product candidate, we may be unable to obtain or maintain the benefits associated with Fast Track designation.</w:t>
      </w:r>
    </w:p>
    <w:p>
      <w:pPr>
        <w:pStyle w:val="TextBody"/>
        <w:bidi w:val="0"/>
        <w:spacing w:before="120" w:after="283"/>
        <w:jc w:val="left"/>
        <w:rPr>
          <w:rFonts w:ascii="Times New Roman" w:hAnsi="Times New Roman"/>
          <w:sz w:val="20"/>
        </w:rPr>
      </w:pPr>
      <w:r>
        <w:rPr>
          <w:rFonts w:ascii="sans-serif" w:hAnsi="sans-serif"/>
          <w:color w:val="000000"/>
          <w:sz w:val="20"/>
        </w:rPr>
        <w:t>ELVN-001 has received Fast Track designation from the FDA, and where possible, we plan to seek Fast Track designation for our other product candidates. 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ELVN-001 does not continue to meet the criteria for Fast Track designation, or if any other product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and does not guarantee faster development, review or approval. Fast Track designation alone does not guarantee qualification for the FDA’s Priority Review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Where possible, we plan to seek Breakthrough Therapy designation from the FDA, which even if granted for any of our product candidates, may not lead to a faster development or regulatory review or approval process and does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Where possible, we plan to seek Breakthrough Therapy designation for one or more of our current or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other expedited approval programs, including accelerated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one or more of our current or future product candidates, there can be no assurance that any such product candidate will receive Breakthrough Therapy designation.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received orphan drug designation for ELVN-001. We may not be able to obtain additional orphan drug designations or obtain or maintain orphan drug exclusivity for our other product candidates and, even if we do, that exclusivity may not prevent the FDA, EMA or other comparable foreign regulatory authorities, from approving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Regulatory authorities in some jurisdictions, including the United States and the EU, may designate drugs for relatively small patient populations as orphan drugs. Under the Orphan Drug Act, the FDA may designate a product candidate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November 2024,</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ELVN-001 received orphan drug designation for CML. There can be no assurances that we will be able to obtain any additional orphan designations or other designations for other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the United States, orphan drug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for which it has such designation, the product candidate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 In view of the court decision in Catalyst Pharms., Inc. v. Becerra, 14 F.4th 1299 (11th Cir. 2021), the FDA published a notice in the Federal Register to clarify that while the agency complies with the court’s order in Catalyst, the FDA intends to continue to apply its longstanding interpretation of the regulations to matters outside of the scope of the Catalyst order. The Consolidated Appropriations Act of 2026, signed into law in February 2026, codified this longstanding FDA interpretation of the Orphan Drug Act, allowing the FDA to approve multiple versions of the same orphan drug for different subindications and subpopulations. Further, changes in the leadership of the FDA and other federal agencies under the current administration may also lead to new policies and changes in the regulations and operations of the FDA, which may impact our clinical development plans. It is unclear how future litigation, legislation, agency decisions, and administrative actions will impact the scope of the orphan drug exclusivity.</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including changes in government administration policy positions as a result of the current presidential administration.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United States pharmaceutical industry. The ACA, which, among other things,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healthcare measures initiated by the Trump administration will impact the ACA, our business, financial condition and results of operations. Complying with any new legislation or change in regulatory requirements could be time-intensive and expensive, resulting in a material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other legislative changes have been proposed and adopted in the United States since the ACA was enacted. For example, the Budget Control Act of 2011 was signed into law, which, among other things, resulted in aggregate reductions to Medicare payments to providers of up to 2% per fiscal year, effective April 1, 2013, which, due to subsequent legislative amendments, will stay in effect through 2032. In January 2013, the American Taxpayer Relief Act of 2012, among other things, increased the statute of limitations period for the government to recover overpayments to providers from three to five years.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a sunset provision, effective January 1, 2024,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have initiated lawsuits against the federal government asserting that the price negotiation provisions of the IRA are unconstitutional. In June 2026, the CMS issued a proposed rule that would codify policies established in guidance documents for the Medicare Drug Price Negotiation Program for initial price applicability year 2029 and beyond. CMS plans to release guidance to implement policies related to the effectuation of the maximum fair pricing for the Medicare Drug Price Negotiation Program for 2028.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United States. The impact of ongoing and future judicial challenges as well as future legislative, executive, and administrative actions and agency rules implemented by the government on us and the pharmaceutical industry as a whole is unclear, particularly given the current presidential administration.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2021, many states passed or considered state drug price transparency and reporting laws that substantially increase the compliance burdens on pharmaceutical manufacturers. The impact of these legislative, executive, and administrative actions and any future healthcare measures and agency rules implemented by the Trump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obtain coverage and reimbursement approval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availability of capital.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in response to any future public health emergency, health epidemic (including COVID-19) or other outbreaks.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Inadequate funding, layoffs, government shutdown, staff departures, lapse in government appropriations, and other policies impacting the normal operations of the FDA, the SEC and other United States government agencies or the EMA or comparable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ability of the FDA, EMA or comparable foreign regulatory authorities to review and approve new products can be affected by a variety of factors, including government budget and funding levels, government shutdown, changes in agency leadership, layoffs, reduction in force, agency reorganization,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research and development activities, is subject to the political process, which is inherently fluid and unpredictable. Government shutdown, departures and other changes in the agency personnel at the FDA can materially impact the continuity of correspondence with the FDA, delay our clinical development timelines, and increase the costs of clinical development process. For example, action by the current administration to limit federal agency budgets or personnel may result in reductions to the SEC’s budget, employees, and operations, which may lead to slower response times and longer review periods.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Disruptions at the FDA, EMA and other agencies may also slow the time necessary for new drugs to be reviewed and/or approved by necessary government agencies, which would adversely affect our business. For example, action by the current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timely regulatory approval for our product candidates. In addition, in the past,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relationships with employees, independent contractors, consultants, commercial collaborators, healthcare professionals, clinical investigators, CROs, suppliers, vendors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are exposed to the risk that our employees, independent contractors, consultants, commercial collaborators, healthcare professionals, clinical investigators, CROs, suppliers, vendors and third-party payors may engage in misconduct or other improper activities. 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laws that may affect our ability to operate include, but are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In addition, the government may assert that a claim including items or services resulting from a violation of the federal Anti-Kickback Statute constitutes a false or fraudulent claim for purposes of the False Claims Act ("FCA");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federal civil and criminal false claims laws, including the FCA, which can be enforced through civil “qui tam” or “whistleblower” actions, and civil monetary penalty laws, including the Civil Monetary Penalties Law,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Health Insurance Portability and Accountability Act of 1996, as amended by the Health Information Technology for Economic and Clinical Health Act (“HITECH”), and the regulations that implement both laws (collectively, “HIPAA”), which created additional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HIPAA, which imposes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federal Physician Payments Sunshine Act, created under the ACA and our implementing regulations, which require applicable manufacturers of drugs, devices, biologics and medical supplies for which reimbursement is available under Medicare, Medicaid or the Children’s Health Insurance Program (with certain exceptions) to report annually to CMS in HHS information related to payments or other transfers of value made to covered recipients, including physicians (defined to include doctors, dentists, optometrists, podiatrists and chiropractors), certain non-physician healthcare providers (such as physician assistants and nurse practitioners), and teaching hospitals, as well as ownership and investment interests held by physicians and their immediate family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analogous state and foreign laws and regulations that apply to our business, such as state and foreign anti-kickback, false claims, consumer protection and unfair competition laws, state and foreign pharmaceutical compliance, price reporting and transparency laws, which can vary from jurisdiction to jurisdiction, thus complicating compliance efforts, and which can increase our exposure to liabilities and costs of compliance.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may also be subject to federal consumer protection and unfair competition laws, which broadly regulate marketplace activities and activities that potentially harm consumers.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Efforts to ensure that our current and future business arrangements with third parties will comply with applicable healthcare and data privacy and security laws and regulations will involve on-going substantial costs. 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are subject to stringent and changing privacy, data protection and data security laws, regulations and standards as well as policies, contracts and other obligations related to data privacy, data protection and data security. Our actual or perceived failure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to comply with such obligations could lead to enforcement or litigation (that could result in fines or penalties), a disruption or cancellation of clinical trials or commercialization of products, reputational harm, or other adverse business effects.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We collect, receive, retain, store, use, share, disclose, transfer, make accessible, disseminate, and otherwise process data (including personal and clinical trial information) relating to our employees and contractors, and other persons. Accordingly, we are, or may become, subject to numerous legal and contractual obligations regarding the privacy, security, protection, and collection, storing, sharing, use, transfer, disclosure and other processing of certain data, including personal information. For example, we are, or may become, subject to various federal, state, local, and foreign laws, directives, and regulations regarding privacy, data protection, and data security,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and we strive to comply with our applicable policies and applicable laws, regulations, contractual obligations, and other legal obligations relating to privacy, data protection, and data security, to the extent possible. The regulatory frameworks for privacy, data protection and data security worldwide are evolving and are likely to remain complex and uncertain for the foreseeable future. Any perception of privacy, data security, or data protection concerns or an inability, by us or third parties that we rely on, to comply with applicable laws, regulations, policies, industry standards, contractual obligations, or other legal obligations, even if unfounded, may result in additional cost and liability to us, harm our reputation,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are not currently classified as a covered entity or business associate under HIPAA. Thus, we are not directly subject to HIPAA’s requirements or penalties. The healthcare providers, including certain research institutions from which we may obtain patient or subject health information, may be subject to privacy, security, and breach notification requirements under HIPAA. Additionally, any person may be prosecuted under HIPAA’s criminal provisions either directly or under aiding-and-abetting or conspiracy principles. Consequently, depending on the facts and circumstances, we could face substantial penalties if we knowingly receive individually identifiable health information from a HIPAA covered entity, business associate or subcontractor that has not satisfied HIPAA’s requirements for disclosure of individually identifiable health information. In addition, we maintain sensitive personally identifiable information, including health and genetic information, that we receive throughout the clinical trial process and in the course of our research collaborations, and may maintain sensitive personally identifiable information received directly from individuals (or their healthcare providers) who may enroll in patient assistance programs if we choose to implement such programs. In addition, we may be subject to state laws requiring security and protection of personal information and notification of affected individuals and state regulators in the event of a breach of personal information, which is a broader class of information than the health information protected by HIPAA.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Furthermore, certain health privacy laws, data breach notification laws, consumer protection laws and genetic information laws may apply directly to our operations and/or those of our collaborators and may impose or be asserted to impose restrictions on our collection, receipt, retention, storage, use, sharing, disclosure, dissemination, transfer or other processing of individuals’ personal information, including health information. Individuals from whom we or our collaborators may obtain personal information, including health information, as well as the healthcare providers who may share this information with us, may have statutory or contractual rights that require certain security measures to protect such information or limit the ability to collect, retain, store, use, share, disclose, disseminate, transfer, and otherwise process the information. We may be required to expend significant capital and other resources to support our ongoing compliance efforts regarding applicable privacy, data protection, and data security laws. Claims that we have violated individuals’ privacy rights or breached our contractual obligations, even if we are not found liable, could be expensive and time-consuming to defend and could result in adverse publicity that could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Additionally, we are subject to additional restrictions and requirements relating to privacy, data protection and data security in other jurisdictions outside the United States in connection with our clinical trials. For example, the collection, use, storage, disclosure, transfer (including cross-border), or other processing of personal data regarding individuals in the EU, including personal health data, is subject to the General Data Protection Regulation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certain personal data breaches (including to supervisory authorities and potentially affected individuals), and taking certain measures when engaging third-party processors. The GDPR also imposes strict rules on the transfer of personal data outside the European Economic Area (“EEA”) to third-party countries that have not been found to provide adequate protection to such personal data, and permits data protection authorities to impose large penalties for violations of the GDPR, including potential fines of up to €20 million or 4% of annual global revenues, whichever is greater, for the most serious of violations. The GDPR also confers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 private right of action on data subjects and consumer associations to lodge complaints with supervisory authorities, seek judicial remedies, and obtain compensation for damages resulting from violations of the GDPR.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While the GDPR applies uniformly across the EU, each EU Member State is permitted to issue nation-specific data protection legislation, which has created inconsistencies on a country-by-country basis. For example, the French national data protection authority has enacted specific requirements for the processing of health data. We are assessing our obligations under certain data protection requirements in the EU, and we may be required to modify our operations and relevant policies and practices in our efforts to comply with such requirements, which could require us to incur substantial costs and expenses. Additionally, we are subject to UK data privacy and protection laws, regulations and standards. While the UK General Data Protection Regulation (the “UK GDPR”) largely mirrors the GDPR, the withdrawal of the UK from the EU and the subsequent implementation of the UK GDPR expose us to two parallel data protection regimes, each of which potentially authorizes similar significant fines and other potentially divergent enforcement actions for certain violations. The UK made targeted amendments to its data protection regime in the UK Data (Use and Access) Act, effective June 19, 2025. In addition, on July 16, 2020, the European Court of Justice invalidated the EU-U.S. Privacy Shield Framework, a mechanism under which personal data could be transferred from the EEA to entities in the United States that had self-certified under the Privacy Shield Framework. The Court also called into question the Standard Contractual Clauses (“SCCs”), noting adequate safeguards must be met for SCCs to be valid. Use of the SCCs must be assessed on a case-by-case basis taking into account the legal regime applicable in the destination country, in particular, applicable surveillance laws and rights of individuals and additional measures and/or contractual provisions may need to be put in place. Additionally, the European Commission has adopted new SCCs that are required to be implemented. The UK also has issued new standard contractual clauses, similar to the SCCs, that also are required to be implemented. The United States and EU replaced the EU-U.S. Privacy Shield transfer framework with the EU-U.S. Data Privacy Framework (“EU-U.S. DPF”), which was the subject of an adequacy decision by the European Commission on July 10, 2023, allowing the EU-U.S. DPF to be utilized as a means of legitimizing EU-U.S. personal data transfers for participating entities. The UK and U.S. also established a UK Extension to the EU-U.S. DPF, effective as of October 12, 2023 (the “UK Extension”), whereby participants in the EU-U.S. DPF who participate in the UK Extension may rely upon the UK Extension as a means to legitimize personal data transfers from the UK to the U.S. Further, on July 17, 2023, the Swiss-U.S. Data Privacy Framework (“Swiss-U.S. DPF”), which provides for a means of legitimizing personal data transfers from Switzerland to the U.S., entered into effect. The Swiss-U.S. DPF was the subject of an adequacy decision that was effective on September 15, 2024. The EU-U.S. DPF has faced a legal challenge, and it, the Swiss-U.S. DPF, and the UK Extension may be subject to additional legal challenges, from privacy advocacy groups or others, and the European Commission’s adequacy decision regarding the EU-U.S. DPF provides that the EU-U.S. DPF will be subject to future reviews and may be subject to suspension, amendment, repeal, or limitations to its scope by the European Commission. We have encountered, and may continue to encounter, difficulties putting in place SCCs with certain personal data exporters. As supervisory authorities issue further guidance on personal data export mechanisms, including on the new SCCs, and/or start taking enforcement action, our compliance costs could increase. More generally, we may be subject to complaints and/or regulatory investigations or fines relating to cross-border personal data transfers, and/or if we are otherwise unable to transfer personal data between and among countries and regions in which we may conduct clinical trials, this could negatively impact our business. Furthermore, on June 28, 2021, the European Commission issued an adequacy decision under the GDPR and the Law Enforcement Directive, pursuant to which personal data generally may be transferred from the EU to the UK without restriction; however, this adequacy decision is subject to renewal, and the European Commission may intervene at any time with respect to its adequacy decision. The European Commission renewed the UK's adequacy decision in December 2025 to extend through December 2031, but the UK's adequacy determination remains subject to future uncertainty and may be subject to modification or revocation, with the UK potentially being considered an inadequate third country under the GDPR, in which case transfers of personal data from the EEA to the UK will require a transfer mechanism, such as SCCs. Furthermore, there will be increasing scope for divergence in application, interpretation, and enforcement of the data protection law as between the UK and the EEA. This may increase the complexity of transferring personal data across borders.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Similar laws have been proposed in other foreign jurisdictions. For example, on August 20, 2021, the Personal Information Protection Law (“PIPL”) of the People’s Republic of China (“PRC”) was adopted and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have conducted and may in the future conduct clinical trials in China and have encountered minor delays due to data transfer authorization processes and may in the future encounter additional delays. If additional laws are passed, such laws may have potentially conflicting requirements that would make compliance challenging. Such laws may require us to modify our operations, and may limit our ability to collect, retain, store, use, share, disclose, transfer, disseminate, and otherwise process personal data, may require additional investment of resources in compliance programs, impact strategies and could result in increased compliance costs and/or changes in our ongoing or planned business practices and policies.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may also be subject to federal and state privacy, data protection and data security laws and regulations in the United States including, without limitation, laws that regulate personal information, including health information. For example, California has enacted the California Consumer Privacy Act (“CCPA”), which creates new individual privacy rights for California consumers (as defined in the law) and places increased privacy, data protection, and data security obligations on entities handling personal information of California consumers, devices, or households. The CCPA requires covered companies to provide new disclosures to California consumers about such companies’ data collection, use and sharing practices and provide such consumers new ways to opt-out of certain sales of personal information. The CCPA also provides consumers with a private right of action in certain data breach situations. The CCPA went into effect on January 1, 2020, and the California Attorney General commenced enforcement actions for violations on July 1, 2020. Moreover, the California Privacy Rights Act (“CPRA”), which significantly modified the CCPA, including by imposing additional obligations on covered companies and expanding consumers’ rights with respect to certain sensitive personal information, became operative on January 1, 2023, potentially resulting in further uncertainty and requiring us to incur additional costs and expenses in an effort to comply. The CPRA also creates a new state agency that has authority to implement and enforce the CCPA and the CPRA. We are monitoring developments regarding the CCPA and CPRA in view of our headquarters and operations in California. On September 23, 2025, the California Office of Administrative Law approved final regulations adopted by the California Privacy Protection Agency addressing automated decision-making technology, privacy risk assessments, and cybersecurity audits, which became effective January 1, 2026, with compliance obligations phased in through 2028 and beyond. We anticipate further rulemaking under, and amendments to, the CCPA and CPRA over time.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CCPA has prompted a number of proposals for federal and state privacy legislation, some of which have been enacted. Many of these proposed and enacted laws are comprehensive privacy statutes that impose obligations similar to the CCPA. For example, Colorado enacted the Colorado Privacy Act (“CPA”), legislation similar to the CCPA that took effect in 2023; Connecticut, Utah, and Virginia have also enacted legislation similar to the CCPA and CPA that took effect in 2023; Florida, Montana, Oregon, and Texas have enacted similar legislation that took effect in 2024; Delaware, Iowa, Maryland, Minnesota, Nebraska, New Hampshire, New Jersey, and Tennessee have enacted similar legislation that took effect in 2025; Indiana, Kentucky, and Rhode Island have enacted similar legislation that has taken effect in 2026; Alabama and Oklahoma have enacted similar legislation that takes effect in 2027; and Vermont has enacted similar legislation that takes effect in 2028. Further, other states have enacted laws that cover certain aspects of the collection, use, disclosure, and/or other processing of health information, such as Washington’s My Health, My Data Act, which, among other things, provides for a private right of action. The U.S. federal government also is contemplating federal privacy legislation. Additionally, the U.S. Department of Justice issued a final rule that took effect in April 2025, which places limitations, and in some cases prohibitions, on certain transfers of sensitive personal data to business partners located in China and other designated countries or with other specified links to China or other designated countries. Collectively, these laws and regulations represent a trend toward more stringent laws and regulations addressing data transfers and other privacy and data security matters in the United States. We may be required to modify our policies and practices and otherwise to incur additional costs and expenses in an effort to comply with new and evolving legislation relating to privacy and data security.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have published and may publish additional privacy policies and other documentation regarding our collection, processing, use and disclosure of personal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number and scope of obligations related to privacy, data protection and data security are changing, subject to differing applications and interpretations, and may be inconsistent between jurisdictions or in conflict with each other. As a result, compliance with United States and foreign privacy, data protection, and data security laws and regulations could require us to take on more onerous obligations in our contracts, restrict our ability to collect, retain, store, use, share, disclose, transfer, disseminate, and otherwise process data, or in some cases, impact our ability to operate in certain jurisdictions. Although we endeavor to comply with our published policies, other documentation, and all applicable privacy and security laws and regulations, we may at times fail to do so or may be perceived to have failed to do so. Any actual or alleged failure to comply with such obligations could result in governmental investigations, proceedings, and enforcement actions (which could include civil or criminal fines or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rights, failed to comply with data protection laws, or breached our contractual obligations, even if we are not found liable, could be expensive and time-consuming to defend and could result in adverse publicity that could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business activities may be subject to the U.S. Foreign Corrupt Practices Act (“FCPA”) and similar anti-bribery and anti-corruption laws and anti-money laundering laws, including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are subject to the FCPA, the U.S. domestic public corruption and commercial bribery statutes contained in 18 U.S.C. § 201, the U.S. Travel Act and possibly other anti-bribery and anti-corruption laws and anti-money laundering laws in countries outside of the United States in which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may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may involve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We cannot assure you that all of our employees, agents, representatives, business partners or third-party intermediaries will not take actions in violation of applicable law for which we may be ultimately held responsible. As we commercialize our product candidates and increase our international sales and business, our risks under these laws may increase.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Any allegations or violation of the FCPA or other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countries, governments, and persons targeted by United States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including changes that may result from the current presidential administration,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are subject to numerous environmental, health and safety laws and regulations, including those governing laboratory procedures and the handling, use, storage, treatment and disposal of hazardous materials and wastes.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Any legal proceedings or claims against us could be costly and time-consuming to defend and could harm our reputation regardless of the outcome.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have previously been, are currently, and may in the future become, subject to legal proceedings and claims that arise in the ordinary course of business, including intellectual property, product liability, employment or employee misclassification, class action, whistleblower and other litigation claims, and governmental and other regulatory investigations and proceedings. We may incur liability under our agreements with third parties, and we are not always indemnified under such agreements. We may also be exposed to increased litigation from stockholders, suppliers and other third parties due to the combination of our business and Former Enliven’s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could adversely affect our financial condition and results of operations. Because of the potential risks, expenses, and uncertainties of litigation, we have settled, and may, from time to time, settle disputes, even where we have meritorious claims or defenses, by agreeing to settlement agreements. Any of the foregoing could adversely affect our business,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Our success is highly dependent on our ability to attract, hire and retain highly skilled executive officers and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currently have a small team focused on research and development of small molecule therapeutics. Our ability to discover and develop any product candidates is dependent on our team. To succeed, we must recruit, hire, retain, manage and motivate qualified clinical, scientific, technical and management personnel, and we face significant competition for experienced personnel. We are highly dependent on the principal members of our management and medical staff, particularly Rick Fair, our President, Chief Executive Officer and director, Ben Hohl, our Chief Financial Officer and Helen Collins, our Chief Medical Officer.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scientific and clinical advisors and consultants may enter into non-compete agreements with us and, given a shifting legal landscape, such agreements may or may not continue to be enforceable. Our scientific and clinical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or employment relationships with our scientific founders and other scientific and clinical advisors and consultants, or if they provide services to our competitors, our development and commercialization efforts will be impaired and our business will be significantly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reliance on a limited number of employees who provide various administrative, research and development, and other services across our organization presents operational challenges that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As of June 30, 2026, we had 67 full-time employees. Of these employees, 51 are engaged in research or product development and clinical activities. The small size of our centralized team may limit our ability to devote adequate personnel, time, and resources to support our operations or research and development activities, and the management of financial, accounting, and reporting matters. If our team fails to provide adequate administrative, research and development, or other services across our organization, our business, financial condition, and results of operations could be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As of June 30, 2026, we had 67 full-time employees. Of these employees, 51 are engaged in research or product development and clinical activities. In order to successfully implement our development and commercialization plans and strategies, we expect to need significant additional managerial, operational, sales, marketing, financial and other personnel.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identifying, recruiting, integrating, maintaining, retaining and motivating our current and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managing our internal development efforts effectively, including the non-clinical, clinical, FDA, EMA and other comparable foreign regulatory agencies’ review process for our product candidates, including ELVN-001 while complying with any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managing increasing operational and managerial complexity;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complying with additional regulatory and compliance requirements related to advancing our product candidates and research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improving our operational, financial and management controls, reporting systems and procedures.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future financial performance and our ability to successfully develop and, if approved, commercialize ELVN-001 and other research programs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currently rely, and for the foreseeable future will continue to rely, in substantial part on certain independent organizations, advisors and consultants to provide certain services, including key aspects of research, clinical development, regulatory functions and manufacturing. We also rely, and for the foreseeable future will continue to rely, on one or more employers of record to engage workers outside of the United States, which could expose us to liability for our employment practices outside of the United States and for liabilities associated with the employment practices of any such employer of record. There can be no assurance that the services of independent organizations, employers of record,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clinical trials may be extended, delayed or terminated, and we may not be able to obtain marketing approval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any of our product candidates or otherwise advance our business. There can be no assurance that we will be able to manage our existing third-party service providers or find other competent outside contractors and consultants on economically reasonable terms, or at 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If we are not able to effectively expand our organization by hiring new employees and/or engaging additional third-party service providers, we may not be able to successfully implement the tasks necessary to further develop and commercialize ELVN-001 and/or license ELVN-001 and any other product candidates and, accordingly, may not achieve our research, development and commercialization goals.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internal computer systems, or those of any of our CROs, manufacturers, other contractors or consultants or potential future collaborators, may fail, have suffered, or may in the future suffer actual or suspected security or data privacy incidents or other unauthorized or improper access to, use of, or destruction of our proprietary or confidential data, employee data, or personal information, which could result in additional costs, loss of revenue, significant liabilities, harm to our brand and material disruption of our operations, and potentially significant delays in our clinical trials and delivery of product to market.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In the ordinary course of our business, we collect, store, transmit, and otherwise process large amounts of data, including intellectual property, proprietary or confidential data, employee data, and personal information. We also collect, store, transmit, and otherwise process health information, in connection with our clinical trials. It is critical that we do so in a secure manner to maintain the confidentiality, integrity, and availability of such data. Our obligations under applicable laws, regulations, contracts, industry standards, and other documentation may include maintaining the confidentiality, integrity, and availability of such data in our possession or control, maintaining reasonable and appropriate security safeguards as part of an information security program, and restrictions on the use and disclosure of such data. These obligations create potential legal liability to regulators, business partners, clinical trial participants, employees, and other relevant stakeholders.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have outsourced certain elements of our operations (including elements of our information technology infrastructure) to third parties and have incorporated third-party technology into our information technology infrastructure, which collects, transmits, stores, and processes intellectual property, proprietary or confidential data, employee data, and personal information. As a result, we manage a number of third-party providers who have access to our information technology systems and to our confidential information. In addition, many of those third parties in turn subcontract or outsource some of their responsibilities to additional third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Despite the implementation of security measures designed to protect systems that store our information, given their size and complexity and the increasing amounts of information maintained on our internal information technology systems and external processing and storage systems (e.g., cloud), and those of our third-party CROs, other contractors (including sites performing our clinical trials) and consultants, these systems are from time to time vulnerable to breakdown or other damage, disruption, or interruption from service interruptions, system malfunction, power outages, natural disasters, terrorism, acts of vandalism, war, telecommunication and electrical failures, and global pandemics (such as COVID-19), as well as security breaches and incidents from inadvertent or intentional actions by our employees, contractors, consultants, business partners, and/or other third parties (including nation-state and nation-state supported actors), or from cyber-attacks by malicious third parties (including the deployment of harmful malware, ransomware, viruses, denial-of-service attacks, phishing attacks and other forms of social engineering and other means to affect service reliability and threaten the confidentiality, integrity and availability of information, including through the use of artificial intelligence tools to identify and exploit vulnerabilities), which may compromise our system infrastructure or that of our third-party CROs, other contractors (including sites performing our clinical trials) and consultants and have led and could in the future lead to the unauthorized access to or acquisition, use, corruption, loss, destruction, alteration, dissemination, or other processing of, or damage to, our data, data that is processed or maintained on our behalf, or other assets. For example, from time to time, we experience an increase in phishing and other social engineering attacks from third parties in connection with our increase in remote work. As a result, we, as well as any of our CROs, clinical trial sites, manufacturers, other contractors or consultants who may be operating in remote work environments may have increased cyber security and data security risks, due to increased use of home wi-fi networks and virtual private networks, as well as increased disbursement of physical machines. While we implement information technology controls designed to reduce the risk of a cyber security or data security incident, there is no guarantee that these measures will be adequate to safeguard all systems, especially given the number of employees working remotely. Additionally, we have migrated certain data analysis functions from outsourced providers to in-house resources, which may create additional security risks. Additionally, for example, our third-party CROs or other contractors and consultants have suffered, and in the future may suffer, instances of unauthorized access to their systems or data they process on our behalf.</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Any cyber-attack, disruption, or other security breach or incident, including any such event resulting in any unauthorized, unlawful, or accidental access to, or acquisition, use, corruption, loss, destruction, unavailability, alteration or dissemination of, or damage to, our data (including confidential or personal information) or applications, or any belief or reporting that any of these occurred, could lead to us incurring liability and reputational damage and delays in the development and commercialization of our product candidates. There can be no assurance that our data protection and security efforts and our investment in information technology, or the efforts or investments of CROs, consultants or other third parties, have prevented or will prevent significant breakdowns, interruptions, or other disruptions in systems, any security breaches, or other security incidents that result in unauthorized, unlawful, or accidental access to or acquisition, use, corruption, loss, destruction, unavailability, alteration or dissemination of, or damage to, our data or data processed on our behalf that could have a material adverse effect upon our reputation, business, operations or financial condition. For example, any such event causing interruptions in our operations could result in a material disruption of our programs (including clinical trials) and delays in the development of our product candidates. In addition, significant disruptions of our internal information technology systems or security incidents could result in the loss, misappropriation, and/or unauthorized access, use, acquisition, or disclosure of, or the prevention of access to, data (including trade secrets or other confidential data, intellectual property, proprietary business information, and personal information), which could result in financial, legal, business, and reputational harm to us. For example, any such event that leads to unauthorized, unlawful, or accidental access, use, or disclosure of personal information, including personal information regarding our employees or business partners, could harm our reputation directly, compel us to comply with breach notification laws, subject us to financial exposure related to investigation of the incident (including cost of forensic examinations), subject us to mandatory corrective action, and otherwise subject us to liability under laws and regulations that protect the privacy and security of personal data, which could result in significant legal and financial exposure and reputational damages that could potentially have an adverse effect on our business.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may also be required to notify governmental authorities and/or affected individuals of breaches involving personal information. For example, all 50 states have laws including obligations to provide notification of security breaches of computer databases that contain personal information to affected individuals, state regulators, and/or others. These laws are not consistent, and compliance in the event of a widespread security breach or incident may be difficult and costly. We also may be contractually required to notify affected individuals or other relevant stakeholders of a security breach or incident. Regardless of our security measures and contractual protections, any actual or perceived security breach or incident or breach of our contractual obligations could harm our reputation and brand, expose us to potential liability or require us to expend significant resources on data security and in responding to any such actual or perceived breach or incident. Notifications and follow-up actions related to a security incident could impact our reputation and cause us to incur significant costs, including legal expenses and remediation costs. For example, the loss of clinical trial data from clinical trials could result in delays in our regulatory approval efforts and significantly increase our costs to recover or reproduce the lost data. We expect to incur significant costs in an effort to detect and prevent security breaches and incidents, and we may face increased costs and requirements to expend substantial resources in the event of an actual or perceived security breach or incident. Additionally, we currently are working to implement, and have plans for the future implementation of, additional policies, controls, and other measures relating to cybersecurity in an effort to improve our cybersecurity posture. This will require us to incur additional costs.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also rely on third parties to manufacture our product candidates, and similar events relating to their computer systems could also have a material adverse effect on our business. We and our third-party providers may not have the resources or technical sophistication to anticipate or prevent all cyber-attacks or other means to gain access to systems or otherwise cause or implement security breaches or incidents. Techniques used to obtain unauthorized access to systems are increasingly sophisticated, change frequently and may not be known until launched against us or our third-party providers. While we have no reason to believe that we have experienced a material data security incident that we have not discovered, attackers have become very sophisticated in the way they conceal their unauthorized access to systems, and some organizations that have been attacked are not aware that they have been attacked. Any incident that leads to loss of or unauthorized access to, or use, alteration, disclosure, or other processing of information of individuals, including but not limited to personal information regarding our employees, or any belief or reporting that any such incident has occurred, could disrupt our business, harm our reputation, compel us to comply with applicable data breach notification laws,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There have been and may continue to be significant supply chain attacks and we cannot guarantee that our or our third-party providers’ systems have not been breached or that they do not contain exploitable defects or bugs that could result in a security breach or incident of, or other disruption to, our systems and networks or the systems and networks of third parties that support us. Our ability to monitor our third-party providers’ security measures is limited, and, in any event, those security measures may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circumvented or otherwise fail, resulting in the unauthorized, unlawful, or accidental access to, misuse, disclosure, loss, destruction, or other processing of our data, including employee personal information and other sensitive information. We have not experienced a cybersecurity incident that has been determined to be material, but our and our third-party providers’ and partners’ information technology systems have experienced and may in the future experience cybersecurity incidents or vulnerabilities that could be exploited from inadvertent or intentional actions of our employees, third-party providers, business partners, or by malicious third parties. Cybersecurity attacks are increasing in their frequency, levels of persistence, sophistication and intensity, and are being conducted by sophisticated and organized groups and individuals with a wide range of motives and expertise, including organized criminal groups, “hacktivists,” nation states and others. Additionally, due to the geopolitical unrest associated with Russia’s invasion of Ukraine and the conflicts in the Middle East (including the Iran conflict), we and our CROs, contractors, and other third-party providers and collaborators may be vulnerable to heightened risks of cybersecurity incidents and security and privacy breaches.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Security incidents that impact our information technology systems could result in actual or alleged breaches of our contracts (some of which may not have liability limitations and/or require us to indemnify affected parties) and could lead to litigation with collaborators, clinical trial participants, or other relevant stakeholders. These proceedings could force us to spend money in defense or settlement, divert management’s time and attention, increase our costs of doing business, adversely affect our reputation or otherwise adversely affect our business. Similarly, security incidents could lead to regulatory investigations. We could be required to fundamentally change our business activities and practices in response to such litigation, which could have an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may not have applicable or otherwise adequate insurance to protect us from, or adequately mitigate, liabilities or damages resulting from cyber or privacy incidents. The successful assertion of one or more large claims against us that exceeds any available insurance coverage that we might have, or results in changes to insurance policies (including premium increases or the imposition of large deductible or co-insurance requirements), could have an adverse effect on our business. In addition, we cannot be sure that insurance coverage will be available on acceptable terms or that insurers will not deny coverage as to any future claim.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Further, any disruption or security breach or other incident that does or is perceived to result in unauthorized, unlawful, or accidental access to or acquisition, use, corruption, loss, destruction, alteration or other processing of, or damage to, our data, including our confidential or proprietary data, or data processed on our behalf, could expose us to litigation and governmental investigations, could delay the further development and commercialization of our product candidates, and could subject us to significant fines or penalties for any noncompliance with certain state, federal and/or international privacy and security laws.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we are unable to establish sales or marketing capabilities or enter into agreements with third parties to sell or market our product candidates, we may not be able to successfully sell or market our product candidates that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A variety of risks associated with marketing our product candidates internationally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may seek regulatory approval of our product candidates outside of the United States and, accordingly, we expect that we will be subject to additional risks related to operating in foreign countries if we obtain the necessary approvals,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differing regulatory requirements and reimbursement regimes in foreign countries, such as the lack of pathways for accelerated drug approval, which may result in foreign regulatory approvals taking longer and being more costly than obtaining approval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foreign regulatory authorities may disagree with the design, implementation or results of our clinical trials or our interpretation of data from nonclinical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approval policies or regulations of foreign regulatory authorities may significantly change in a manner rendering our clinical data insufficient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unexpected changes in tariffs, trade barriers, any retaliatory actions in response thereto, price and exchange controls and other regulatory requirements, including changes in government administration policy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compliance with legal requirements applicable to privacy, data protection, information security and other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foreign taxes, including withholding of payroll taxes;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difficulties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complexities associated with managing multiple payor reimbursement regimes and government payors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potential liability under the FCPA or comparable foreign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business interruptions resulting from geopolitical actions, including war and terrorism, trade policies, changes in policy, treaties and tariffs.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These and other risks associated with international operations may materially adversely affect our ability to attain or maintain profitable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future licensors will result in patents being issued or that issued patents will afford sufficient protection against competitors with similar technology, nor can there be any assurance that the patents issued will not be infringed, designed around or invalidated by third parties.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cannot be certain that the claims in our United States pending patent applications, corresponding international patent applications and patent applications in certain foreign territories, or those of our future licensors, will be considered patentable by the United States Patent and Trademark Office (“USPTO”), courts in the United States or by the patent offices and courts in foreign countries, nor can we be certain that the claims in our future issued patents will not be found invalid or unenforceable if challenged.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patent applications may not result in any patents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FDA and its counterparts in other countries require detailed information of clinical trials to be included in certain public forums which may limit the patentability of certain disclosed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patents may be challenged, invalidated, modified, revoked, circumvented, found to be unenforceable or otherwise may not provide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countries other than the United States may have patent laws less favorable to patentees than those upheld by United States courts, allowing foreign competitors a better opportunity to create, develop and market competing product candidates.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may be subject to claims that former employees or other third parties have an ownership interest in our patents or other intellectual property. We may be subject to ownership disputes in the future arising from, for example, conflicting obligations of consultants, employees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In addition, the laws of some countries may prohibit the contractual assignment of intellectual property prior to its creation. The assignment of intellectual property rights may not be self-executing or the assignment agreements may be breached, and litigation may be necessary to defend against these and other claims challenging inventorship or ownership. We cannot be certain that we are the first to invent the inventions covered by pending patent applications and, if we are not, we may be subject to priority or entitlement disputes. We may be required to disclaim part or all of the term of certain patents or all of the term of certain patent applications. There may be prior art of which we are not aware that may affect the validity or enforceability of a patent claim.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There also may be prior art of which we are aware, but which we do not believe affects the validity or enforceability of a claim, which may, nonetheless, ultimately be found to affect the validity or enforceability of a claim. Since patent applications in the United States and other countries are confidential for a period of time after filing, at any moment in time, we cannot be certain that we were in the past or will be in the future the first to file any patent application related to our product candidates. For example, some patent applications in the United States may be maintained in secrecy until the patents are issued. Further, publications in the scientific literature often lag behind actual discoveries. We may not be able to obtain or maintain patent applications and patents due to the subject matter claimed in such patent applications and patents being in the public domain. In some cases, the work of certain academic researchers in the cancer therapeutics field has entered the public domain, which may preclude our ability to obtain patent protection for certain inventions relating to such work. Consequently, we cannot be certain that others have not filed patent applications for technology covered by our owned, and any of our future in-licensed, issued patents or our pending applications, or that we or, if applicable, a licensor were the first to invent or first to file an application for the technology. 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 In addition, the laws of some foreign countries, such as China, where some of our CROs are based, may not protect our intellectual property rights to the same extent as do the laws of the United States and, even if they do, uneven enforcement and procedural barriers may exist in such countries. Damage awards resulting from successful litigation in foreign jurisdictions may not be in amounts commensurate with damage awards in the U.S.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In addition, while we have undertaken reasonable efforts to ensure such agreements are enforceable and that employees and third parties comply with their obligations thereunder, these agreements may be found insufficient by a court of law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Enforcing a claim that a third-party entity illegally obtained and is using any of our trade secrets is expensive and time-consuming, and the outcome is unpredictable, and we may not be able to obtain adequate remedies for such breaches.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connection with obtaining an International Nonproprietary Name (INN) for our small molecule therapeutics, we were required to disclose detailed structural information about the active pharmaceutical ingredient. Because small molecules are defined by their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precise chemical structure, public disclosure of this information could enable competitors to design and develop structurally similar compounds that target the same pathway but fall outside the scope of our patent claims. Although we pursue broad patent protection, including composition-of-matter and method-of-use claims, there can be no assurance that our patents will prevent third parties from developing non-infringing alternatives. If competitors successfully design around our patents, our business and commercial prospects could be materially harmed.</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future licensors may not result in patents being issued which protect our product candidates or which effectively prevent others from commercializing competitive product candidates. In fact, patent applications may not issue as patents at 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future licensors by developing similar or alternative technologies or products in a non-infringing manner which could materially adversely affect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 xml:space="preserve">The issuance of a patent is not conclusive as to our inventorship, scope, validity or enforceability, and our patents or the patents of our future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sans-serif" w:hAnsi="sans-serif"/>
          <w:i/>
          <w:color w:val="000000"/>
          <w:sz w:val="20"/>
        </w:rPr>
        <w:t xml:space="preserve">inter partes </w:t>
      </w:r>
      <w:r>
        <w:rPr>
          <w:rFonts w:ascii="sans-serif" w:hAnsi="sans-serif"/>
          <w:color w:val="000000"/>
          <w:sz w:val="20"/>
        </w:rPr>
        <w:t>review (“IPR”),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future licensors may become subject to post-grant challenge proceedings, such as oppositions in a foreign patent office, that challenge our priority of invention or other features of patentability with respect to our patents and patent applications and those of our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future licensors is threatened, regardless of the outcome, it could dissuade companies from collaborating with us to license, develop or commercialize current or future product candidates.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others may be able to develop products that are similar to our product candidates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or our future licensors or collaborators might not have been the first to make the inventions covered by the issued patents or patent application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or our future licensors or collaborators might not have been the first to file patent applications covering certain of our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it is possible that the pending patent applications we own or license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issued patents that we own or license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or our licensors may fail to meet obligations to the U.S. government with respect to any future in-licensed patents and patent applications funded by U.S. government grants, leading to the loss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not be able to generate sufficient data to support full patent applications that protect the entire breadth of developments in one or more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not successfully commercialize the product candidates, if approved, before our relevant patents expire;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patents of others or pending or future applications of others may have an adverse effect on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choose not to file a patent in order to maintain certain trade secrets or know-how, and a third party may subsequently file a patent covering such intellectual property.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Should any of these events occur, it could significantly harm our business,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Numerous third-party United States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the biopharmaceutical industry expands and the patent landscape relating to our business becomes increasingly crowded with new patent applications and issued patents, including patents directed to compounds, methods of treatment, formulations, manufacturing processes and other technologies, the risk increases that our product candidates may be subject to claims of infringement of the patent rights of third parties.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Generative artificial intelligence resources that are publicly available present a risk that a company may inadvertently obtain, incorporate, or use a third party’s intellectual property.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third parties may obtain patents in the future and claim that use of our technologies infringes upon these patents. Any claims of patent infringement asserted by third parties would be time consuming and could: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result in costly litigation that may cause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prevent us from commercializing any of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require us to develop non-infringing technology, which may not be possible on a cost-effective basis;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subject us to significant liability to third parties; or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require us to enter into royalty or licensing agreements, which may not be available on commercially reasonable terms, or at all, or which might be non-exclusive, which could result in our competitors gaining access to the same technology.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a third party may hold proprietary rights that could prevent our product candidates from being marketed or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results of operations. In addition, intellectual property litigation, regardless of our outcome, may cause negative publicity and could prohibit us from marketing or otherwise commercializing our product candidates and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Because our development programs may in the future require the use of proprietary rights held by third parties, the growth of our business may depend in part on our ability to acquire, in-license, or use these third-party proprietary rights.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development and commercialization of our product candidates, either as a monotherapy or in combination with other drugs.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may be involved in lawsuits to protect or enforce our patents or our future licensors’ patents, which could be expensive, time consuming and unsuccessful. Further, our issued patents or our future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future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future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if the breadth or strength of protection provided by our patents and patent applications or the patents and patent applications of our future licensors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the issuance of a patent does not give us the right to practice the patented invention. Third parties may have blocking patents that could prevent us from marketing our own patented product and practicing our own patented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Europe, as of June 1, 2023, the Unified Patent Court (“UPC”) has exclusive jurisdiction over Unitary Patents and offers a uniform and specialized framework for patent litigation at the European level. Also, European applications will have the option, upon grant of a patent, of becoming a Unitary Patent which will be subject to the jurisdiction of the UPC. This will be a significant change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European patent practice. As the UPC is a new court system, there is little precedent for the court, increasing the uncertainty. As a single court system can invalidate a European patent, we, where applicable, may opt out of the UPC and as such, each European patent would need to be challenged in each individual country.</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Changes in United States patent law, or laws in other countries,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After March 16, 2013, under the Leahy-Smith Act, the United States transitioned to a first inventor to file system in which, assuming that the other statutory requirements are met, the first inventor to file a patent application will be entitled to the patent on an invention regardless of whether this inventor was the first to invent the claimed invention. As a result, a third party that files a patent application in the USPTO on or after March 16,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until publication or issuance, we cannot be certain that we were the first to either (i) file any patent application related to our product candidates and other proprietary technologies we may develop or (ii)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For example, the United States Supreme Court has ruled on several patent cases in recent years, either narrowing the scope of patent protection available in certain circumstances or weakening the rights of patent owners in certain situations. For example, the Supreme Court of the United States held in Amgen v. Sanofi (2023) that a functionally claimed genus was invalid for failing to comply with the enablement requirement of the Patent Act. In addition, the Federal Circuit recently issued decisions involving the interaction of patent term adjustment, terminal disclaimers and obvious-type double patenting, and future decisions may further change how patent term, continuation practice and patent-family strategy are evaluated.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In the 2013 case Assoc. for Molecular Pathology v. Myriad Genetics, Inc., for instance, the U.S. Supreme Court held that certain claims to DNA molecules are not patentable. While we do not believe that any of the patents owned by us will be found invalid based on this decision, we cannot predict how future decisions by the courts, the U.S. Congress or the USPTO may impact the value of our patents. For example, the IRA passed by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whether it will affect our patent strategy in the long run.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Additionally, in July 2025, the FDA announced its intent to increase transparency by publicly releasing portions of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data, or other proprietary information, any public release could unintentionally disclose information that competitors may use to infer proprietary aspects of our product candidates or platform technologies. This could compromise the confidentiality of our trade secrets and know-how or facilitate third-party efforts to design around or challenge the validity, enforceability, or scope of our or future licensor’s patents, or accelerate the development of generics or biosimilars. If we are required to modify or limit the information shared with the FDA to mitigate such risks, it could increase costs, slow our regulatory interactions, or delay product approval timelines.</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we do not obtain patent term extension for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Depending upon the timing, duration and specifics of FDA marketing approval of our product candidates, one or more of our United States patents or those of our future licensors may be eligible for limited patent term restoration under the Hatch-Waxman Act, or patent term extension in certain foreign countries. However, we may not be granted an extension because of, for example, failing to apply within applicable deadlines, failing to apply prior to expiration of relevant patents or otherwise failing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or the scope of patent protection afforded could be less than we project or request. If we are unable to obtain patent term extension or restoration or the term of any such extension is less than we project or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Although we have pending patent applications in the United States and will have pending patent applications in other countries in the future,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future licensors, or other intellectual property rights may not be effective or sufficient to prevent them from competing.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patents of our future licensors at risk of being invalidated or interpreted narrowly and our patent applications or the patent applications of our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Geopolitical developments in and actions by the United States or in foreign countries, including the Russia-Ukraine conflict and conflicts in the Middle East (including the Iran conflict), and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Further, many foreign countries could threaten to impose retaliatory measures that may adversely impact our intellectual property rights in those countries. For example, on March 14, 2025, Brazil enacted Law No. 15.122/2025 (known as the “Economic Reciprocity Law”), which provides a framework that allows for the suspension of obligations related to foreign entities’ intellectual property rights.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Periodic maintenance fees, renewal fees, annuity fees and various other governmental fees on patents and/or applications will be due to the USPTO and various foreign patent offices at various points over the lifetime of our patents and/or applications and those of our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may use trademarks or trade names to brand our products and our clinical trials.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We have not registered any of our trademarks, which could adversely affect our ability to defend our trademark rights.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that incorporate variations of our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may be subject to claims that we or our employees have wrongfully used or disclosed alleged confidential information or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rights to develop and commercialize our technology and product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products in the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future licensors fail to prosecute, maintain, enforce, and defend such patents or patent applications, or lose rights to those patents or patent applications, the rights we have licensed may be reduced or eliminated, and our right to develop and commercialize any of our future product candidates that are the subject of such licensed rights could be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we fail to comply with our obligations in the agreements under which we license intellectual property rights from third parties or otherwise experience disruptions to our business relationships with our future licensors,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Disputes may arise between us and our future licensors regarding intellectual property subject to a license agreement,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right to sublicense patents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diligence obligations under the license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right to transfer or assign the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inventorship and ownership of inventions and know-how resulting from the joint creation or use of intellectual property by our future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priority of invention of patented technology.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Despite our best efforts, our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will have the freedom to seek regulatory approval of, and to market, products identical to ours. This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 xml:space="preserve">Although we do not currently own issued patents or pending patent applications that have been generated through the use of United States government funding, we may acquire or license in the future intellectual property rights that have been generated through the use of United States government funding or grants. Pursuant to the Bayh-Dole Act of 1980, the United States government has certain rights in inventions developed with government funding. On December 8, 2023, the National Institute of Standards and Technology ("NIST") released the </w:t>
      </w:r>
      <w:r>
        <w:rPr>
          <w:rFonts w:ascii="sans-serif" w:hAnsi="sans-serif"/>
          <w:i/>
          <w:color w:val="000000"/>
          <w:sz w:val="20"/>
        </w:rPr>
        <w:t>Draft Interagency Guidance Framework for Considering the Exercise of March-In Rights</w:t>
      </w:r>
      <w:r>
        <w:rPr>
          <w:rFonts w:ascii="Times New Roman" w:hAnsi="Times New Roman"/>
          <w:color w:val="000000"/>
          <w:sz w:val="20"/>
        </w:rPr>
        <w:t xml:space="preserve"> </w:t>
      </w:r>
      <w:r>
        <w:rPr>
          <w:rFonts w:ascii="sans-serif" w:hAnsi="sans-serif"/>
          <w:color w:val="000000"/>
          <w:sz w:val="20"/>
        </w:rPr>
        <w:t>(“Guidance”) to the public for comment. The Guidance represents the first federal framework specifying that price can be a factor in considering whether the government may exercise its march-in authority pursuant to 35 U.S.C. 200 et seq. (Bayh-Dole). These United States government march-in rights include a non-exclusive, non-transferable, irrevocable worldwide license to use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United States government exercised its march-in rights in our future intellectual property rights that are generated through the use of United States government funding or grants, we could be forced to license or sublicense intellectual property developed by us or that we license on terms unfavorable to us, and there can be no assurance that we would receive compensation from the United States government for the exercise of such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We rely on third parties to conduct preclinical studies and clinical trials and those third parties may not perform satisfactorily, including failing to meet deadlines for the completion of such trials, research and studies.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currently utilize and depend upon, and plan to utilize and depend upon, independent investigators and collaborators, such as medical institutions, CROs, CMOs, and strategic partners to conduct and support our preclinical studies and clinical trials under agreements with us. For example, we use Pharmaron, located in China, to conduct preclinical studies. Additionally, we manufacture active pharmaceutical ingredients ("APIs") in Europe. Since these facilities are located outside of the United States, we are exposed to the possibility of product supply disruption and increased costs resulting from the trade tensions between the United States and China or the United States and other countries, the policy decisions arising from these tensions, restrictions on biotechnology equipment or services from certain Chinese and other biotechnology firms, and political unrest or unstable economic conditions in China. For example, the U.S. Commerce Department’s Section 232 National Security Investigation of Imports of Pharmaceuticals and Pharmaceutical Ingredients could lead to tariffs on the APIs we obtain from China or Europe, such as those announced in the April 2, 2026, presidential proclamation “Adjusting Imports of Pharmaceuticals and Pharmaceutical Ingredients into the United States,” imposing a tariff up to 100% on certain foreign-produced pharmaceuticals and pharmaceutical ingredients beginning in July 2026. Any of these matters could materially and adversely affect our business and results of operations. Further, we may be exposed to fluctuations in the value of the local currency in China. Future appreciation of the local currency could increase our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particular, there is currently significant uncertainty about the future relationship between the United States and various other countries, most significantly China, including changes arising as a result of the current presidential administration with respect to trade policies, treaties, tariffs, any retaliatory actions in response thereto, taxes, and other limitations on cross-border operations, including but not limited to the provision of services and the exchange of data. For example, between February 4, 2025 and February 24, 2026, the U.S. government imposed “fentanyl-related” tariffs of 10% to 20% on the import of almost all Chinese-origin items, as well as an additional “reciprocal” tariff of 10% to 125% on certain products, with exemptions for certain pharmaceutical products and other specified items, between April 5, 2025 and February 24, 2026. Pursuant to a February 20, 2026, Supreme Court ruling, the U.S. government ceased collecting the fentanyl-related and reciprocal tariffs on February 24, 2026. On the same day, the U.S. government implemented a “temporary import surcharge” under authorities provided in Section 122 of the Trade Act of 1974, which is currently set at 10% and which is scheduled to last for a period of 150 days. This temporary import surcharge, like the reciprocal tariffs preceding it, excludes certain items, as specified in Annexes to the President’s February 20, 2026 proclamation “Imposing a Temporary Import Surcharge to Address Fundamental International Payments Problems.” The U.S. government has made and continues to make significant additional changes in U.S. trade policy and may continue to take future actions that could negatively impact U.S. trade. The administration continues to implement new, reinstated, or adjusted tariffs under legal authorities such as Section 232 of the Trade Expansion Act of 1962 and Sections 122 and 301 of the Trade Act of 1974, and we expect that the administration will continue with this practice. The introduction or imposition of new tariffs could also lead to retaliatory actions by other countries. We cannot predict what actions may ultimately be taken with respect to trade relations between the United States and China or other countries, what products and services may be subject to such actions or what actions may be taken by the other countries in retaliation. These tariffs (and the uncertainty around their implementation) could affect inputs to our products, as well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as equipment, materials, or components that we import into the U.S.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China, the United States, or other countries, our business, financial condition, and results of operations may be materially harmed.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also have manufacturing activities that take place in the European Union. The U.S.-EU trade relationship is also subject to these noted uncertainties, including with respect to trade policies, treaties, tariffs, and any retaliatory responses thereto. The U.S. government has recently made and continues to make significant additional changes in U.S.-EU trade policy and may continue to take future actions that could negatively impact U.S.-EU trade terms. For example, pursuant to a July 2025 trade agreement, the United States has imposed a 15% “all-in” tariff on many imports from the European Union, with exceptions for generic medications and certain other items. While this 15% all-in tariff rate is also expected to include items affected by future Section 232 pharmaceutical and pharmaceutical products tariffs imposed by the United States, these agreements and policy decisions have not yet been fully implemented. Moreover, this trade agreement was negotiated against the background of since-invalidated reciprocal tariffs, so it is not clear whether the terms of this U.S.-EU trade agreement may change following the Supreme Court’s February 20, 2026, decision. Geopolitical events may also affect the stability of the current tariff regime, notwithstanding current agreements; for example, in January 2026 the United States threatened to impose significant additional tariffs on certain European countries, including certain EU countries, in connection with a dispute related to the sovereign status of the autonomous territory of Greenland. Increases in applicable tariffs, changes to trade policies, or uncertainties related to these matters could increase the costs of our trials and manufacturing and negatively affect our business, financial condition, or the results of our operations.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In addition, various U.S. regulators and legislators have advanced proposals that would limit the exchange of data with commercial counterparties in certain nations, including China, ranging from personal health information to clinical trial data to information related to drug development, and regulators in other countries have considered similar restrictions on the outflow of such data. Further, the current situation relating to trade with China and governmental and regulatory concerns relating to specific Chinese companies continue to remain fluid and unpredictable and may further change as a result of the current presidential administration. Recent legislation known as the BIOSECURE Act was enacted in December 2025 as part of the 2026 National Defense Authorization Act, which places limitations on certain interactions with certain Chinese and other biotechnology firms that may pose a threat to United States national security. Additional proposals and agency actions may further limit those Chinese service providers’ ability to engage in business in the United States or with U.S. government contractors, and additional biotechnology companies of concern may be designated in the future. Clinical trials that we may conduct for ELVN-001 in China may be affected by such regulatory restrictions. We manufacture certain of our product candidates in various countries, including the United States, China and Spain and may in the future manufacture certain of our product candidates in other countries, including countries in Europe, which may increase the cost of manufacturing our product candidates. Potential issues or delays with this transition can impact our clinical plans and timelines, and we expect that such transition will increase our expenses. We have and may continue to face difficulties or challenges in connection with the collection, transfer across borders, or other use or processing of study data within particular jurisdictions, or originally obtained from particular jurisdictions, including China. If we are unable to obtain or use services from existing service providers, to obtain or use any necessary inputs (e.g., data), or become unable to export or sell our products to any of our customers or service providers, our business, liquidity, financial condition, and/or results of operations would be materially and adversely affected.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the future, we generally expect to rely on third parties for the manufacture of any companion diagnostics we may develop. These third parties have had and will continue to have a significant role in the conduct of our preclinical studies and clinical trials and the subsequent collection and analysis of data.</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third parties are not our employees, and except for remedies available to us under our agreements with such third parties, we have limited ability to control the amount or timing of resources that any such third party will devote to our preclinical studies or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clinical trial sites and CMOs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If these third parties do not successfully carry out their contractual duties, meet expected deadlines or conduct our clinical trials in accordance with regulatory requirements or our stated protocols, or if these third parties need to be replaced, we will not be able to obtain, or may be delayed in obtaining, marketing approvals for our product candidates and will not be able to, or may be delayed in our efforts to, successfully commercialize our product candidates. As a result, our financial results and the commercial prospects for our product candidates would be harmed, our costs could increase and our ability to generate revenue could be delayed.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contract with third parties for the manufacture of our product candidates for preclinical studies and clinical trials and expect to do so ultimately for commercialization, and the loss of these third parties or their inability to supply us with sufficient quality and quantities of our product candidates or such quantities at an acceptable cost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In addition, we expect to manufacture certain of our product candidates in various countries, including countries in Europe, which may increase the cost of manufacturing our product candidates. Any supply interruption in limited or sole sourced materials could materially harm our ability to manufacture our product candidates until a new source of supply, if any, could be identified and qualified. We may be unable to find a sufficient alternative supply channel in a reasonable time or on commercially reasonable terms. To date, we have obtained APIs and drug product for our product candidates from certain single-source CMOs. Any performance failures by such CMOs could materially harm our business. We do not have long-term supply agreements and may not be able to secure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We have experienced from time to time, and in the future may experience, an unexpected loss of supply of any of our product candidates for any reason, whether as a result of manufacturing, supply or storage issues or otherwise. As a result, we could experience delays, disruptions, suspensions or terminations of, or be required to restart or repeat, any pending or ongoing preclinical studies or clinical trials.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reduction or termination of production or deliveries by suppliers, or the raising of prices or renegotiation of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termination or nonrenewal of arrangements or agreements by our third-party contractors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breach by the third-party contractors of our agreements with them;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failure of third-party contractors to comply with applicable regulatory requirements, including cGMPs;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failure of the third party to manufacture our product candidates according to our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inability of our third-party contractors to import or export our product candidates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clinical supplies not being delivered to clinical sites on time, or at all, leading to clinical trial interruptions, or of drug supplies not being distributed to commercial vendors in a timely manner, or at all, resulting in lost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misappropriation of our proprietary information, including our trade secrets and know-how.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do not have complete control over all aspects of the manufacturing process of our contract manufacturing partners and are dependent on these contract manufacturing partners for compliance with cGMP regulations for manufacturing both APIs and finished drug products. Our CMOs are also subject to import and export rules and restrictions, which may impact their ability to acquire materials used in the manufacturing of our product candidates or export our manufactured investigational products to the countries where our clinical trials are conducted. There is currently significant uncertainty about the future relationship between the United States and various other countries, most significantly China, with respect to trade policies, treaties, tariffs, taxes, any retaliatory actions in response thereto, and other limitations on cross-border operations. The U.S. government has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currently use CMOs based in China and Europe and may add additional CMOs or transition the manufacturing of our product candidate(s) to CMOs based in other countries, which can increase our business expenses.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comparable regulatory authorities, they will not be able to secure and/or maintain marketing approval for their manufacturing facilities. In addition, we do not have control over the ability of our CMOs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the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In order to commercially produce our products, if approved, either at a third party’s facility or in any of our facilities, we will need to comply with the FDA’s cGMP regulations and guidelines. We have encountered, and could in the future encounter, difficulties in achieving quality control and quality assurance and may experience shortages of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our third-party manufacturers use hazardous materials in a manner that causes injury or violates applicable law, we may be liable for damages.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and other countries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we engage in future acquisitions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From time to time, we evaluate various acquisition opportunities and strategic partnerships, including licensing or acquiring complementary products, product candidates, intellectual property rights, technologies or businesses. Any potential acquisition or strategic partnership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assumption of additional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issuance of our equity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diversion of our management’s attention from our existing programs and initiatives in pursuing such a strategic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risks and uncertainties associated with the other party to such a transaction, including the prospects of that party and their existing products, product candidates and marketing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we decide to establish collaborations but are not able to establish those collaborations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We may also seek strategic collaborations to develop combination therapy strategies for our portfolio products, and/or maximize portfolio value globally through selective co-development and/or commercialization collaborations. Any of these relationships may require us to incur non-recurring and other charges, increase our near-and long-term expenditures, recruit and hire additional personnel, issue securities that dilute our existing stockholders, or disrupt our management and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We face significant competition in seeking appropriate collaborators and the negotiation process is time-consuming and complex. Whether we reach a definitive agreement for a collaboration depends, among other things, upon our assessment of the collaborator’s resources and expertise, the terms and conditions of the proposed collaboration and the proposed collaborator’s evaluation of a number of factors. Those factors may include the design or results of preclinical studies or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global trade tensions, and industry and market conditions generally. The potential collaborator may also consider alternative product candidates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efforts and third parties may not view them as having the requisite potential to demonstrate safety and efficacy.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addition, there have been a significant number of business combinations among large pharmaceutical companies, and business combinations could result in a reduced number of potential future collaborators. Even if we are successful in entering into a collaboration, the terms and conditions of that collaboration may restrict us from entering into future agreements on certain terms with potential collaborators.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research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may enter into collaborations with third parties for the development and commercialization of product candidates. If those collaborations are not successful, we may not be able to capitalize on the market potential of these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If we enter into any collaboration arrangements with any third parties for the development and commercialization of our product candidates, we will likely have limited control over the amount and timing of resources that our collaborators dedicate to the development or commercialization of our product candidates. Our ability to generate revenue from these arrangements will depend on our collaborators’ abilities and efforts to successfully perform the functions assigned to them in these arrangements. Collaborations involving our product candidates would pose numerous risks to us,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collaborators have significant discretion in determining the efforts and resources that they will apply to these collaborations and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collaborators may require a trial design that could prolong development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sans-serif" w:hAnsi="sans-serif"/>
          <w:color w:val="000000"/>
          <w:sz w:val="20"/>
        </w:rPr>
        <w:t>development function, or available funding or external factors such as an acquisition that diverts resources or creates competing priorities;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 collaborator with marketing and distribution rights to multiple products may not commit sufficient resources to the marketing and distribution of our product relative to other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grant exclusive rights to our collaborators that would prevent us from collaborating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collaboration agreements may not lead to development or commercialization of product candidates in the most efficient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collaborators may own or co-own intellectual property covering our products or product candidates that result from our collaborating with them, and in such cases, we would not have the exclusive right to develop or commercialize such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 collaborator’s sales and marketing activities or other operations may not be in compliance with applicable laws resulting in civil or criminal proceedings.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addition, we measure compensation cost for stock-based awards made to employees, directors and consultants at the grant date, based on the fair value of the award (as determined under U.S. GAAP), and recognize the cost as an expense over the requisite service period or, for certain awards with performance conditions, when achievement of the applicable performance condition is considered probable and over the associated requisite service period, as applicable. As the variables that we use as a basis for valuing these awards change over time, the magnitude of the expense that we must recognize may vary significantly. Also, modifications to outstanding stock-based awards, including changes to their terms or conditions, have resulted, and may result, in incremental stock-based compensation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Furthermore, our operating results may fluctuate due to a variety of other factors, many of which are outside of our control and may be difficult to predict,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and cost of, and level of investment in, research and development activities relating to our programs, which will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recruit and enroll patients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timing and outcomes of preclinical studies and clinical trials for ELVN-001 and any product candidates from our research programs,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need to conduct unanticipated clinical trials or trials that are larger or more complex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timing and cost of, our level of investment in, and our ability to develop companion diagnostics, if required for regulatory approval of any product;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ability to acquire drug product for combination trials or for comparator arms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competition from existing and potential future products that compete with ELVN-001 or any of our research programs,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any delays in regulatory review or approval of ELVN-001 or any of our other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level of demand for any of our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risk/benefit profile, cost and reimbursement policies with respect to our product candidates, if approved, and existing and potential future products that compete with ELVN-001 or any of our other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ability to commercialize ELVN-001 or any of our research programs, if approved, inside and outside of the United States, either independently or working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costs related to our decision not to develop the HER2 program beyond 2025;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future accounting pronouncements or changes in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changing and volatile global economic and political environment.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The market price of our common stock may be volatile and may drop.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market price of our common stock has been and is likely to continue to be subject to significant fluctuations.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timing and results of INDs, preclinical studies and clinical trials of our product candidates, or those of our competitors or our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failure to meet or exceed financial and development projections we may provide to the public or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announcements of significant program updates by us or our competitors, including interim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announcements of significant acquisitions, strategic collaborations, license agreements,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actions taken by regulatory agencies with respect to our product candidates, clinical trials,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if securities or industry analysts do not publish research or reports about our business, if articles are published about our business, or if such research, reports or articles contain incorrect statements or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geopolitical developments, general market or macroeconomic conditions including those related to government shutdowns, inflation, interest rates, the imposition of various sanctions and tariffs by the United States or other countries, and changes in government administration policy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announcement of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sales of securities by us or our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if we fail to raise an adequate amount of capital to fund our operations and continued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publicity or announcements by competitors of new commercial products or success of competitive products (such as asciminib),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introduction of technological innovations or new product candidates that compete with our products and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impact of any natural disasters, public health emergencies, health epidemics (including COVID-19) or other outbreaks.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 In addition, macroeconomic conditions, a recession, depression or other sustained adverse market event resulting from the Russia-Ukraine conflict, conflicts in the Middle East (including the Iran conflict), geopolitical events, changes in government administration policy positions, or otherwise could materially and adversely affect our business and the value of our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For example, we have established clinical trial sites in Israel, which may face recruitment, enrollment, retention, operational or other difficulties due to conflicts within the region, including, for example, difficulties importing clinical trial drug through Israeli customs, difficulties with patient recruitment and enrollment, or difficulties with patients or medical personnel accessing appropriate medical facilities.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will need substantial additional funding before we can complete the development of our product candidates. If we are unable to obtain such additional capital on favorable terms, on a timely basis or at all, we would be forced to delay, reduce or eliminate our product development and clinical programs and may not have the capital required to otherwise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Developing pharmaceutical products, including conducting preclinical studies and clinical trials, is expensive. We have not generated any revenues from the commercial sale of products and will not be able to generate any product revenues until, and only if, we receive approval to sell our product candidates from the FDA or other regulatory authorities. As of June 30, 2026, we had $895.2 million in cash, cash equivalents and marketable securities. Based on our current operating plan, we believe that our existing cash, cash equivalents and marketable securities will be sufficient to fund our operations into 2030. However, as we have not generated any revenue from commercial sales to date and do not expect to generate any revenue for several years, if ever, we will need to raise substantial additional capital in order to fund our general corporate activities and to fund our research and development, including our currently planned clinical trials and plans for new clinical trials and product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may seek to raise additional funds through various potential sources, such as equity and debt financings, or through strategic collaborations and license agreements. We can give no assurances that we will be able to secure such additional sources of funds to support our operations or, if such funds are available, that such additional financing will be sufficient to meet our needs. Moreover, to the extent that we raise additional funds by issuing equity securities, our stockholders may experience additional significant dilution and new investors could gain rights, preferences and privileges senior to the holders of common stock. On June 23, 2023, we entered into the Sales Agreement with the Sales Agent, pursuant to which we may offer and sell shares of our common stock, from time to time, through an “at-the-market” program under the Securities Act. On August 13, 2025, we filed the Automatic Shelf Registration Statement that allows us to undertake an indeterminate amount of equity and debt offerings. On August 13, 2025, we also filed a prospectus supplement to the Automatic Shelf Registration Statement that covers the offering, issuance and sale of up to $200.0 million of our common stock under the Sales Agreement. Through June 30, 2026, we have sold 1,526,610 shares of common stock pursuant to the Sales Agreement at a weighted-average price per share of $26.20 and received net proceeds of $38.6 million, after deducting offering-related transaction costs and commissions. As of June 30, 2026, there was $200.0 million of common stock available for sale under the Sales Agreement. Additionally, in March 2024, we sold common stock and pre-funded warrants in the Private Placement and received aggregate net proceeds of $89.7 million; in June 2025, we completed the 2025 Public Offering where we sold common stock and pre-funded warrants and received aggregate net proceeds of $216.2 million; and in June 2026, we completed the 2026 Public Offering where we sold common stock and pre-funded warrants and received aggregate net proceeds of $432.6 million. We do not have any committed external source of funds. Debt financing, if available, may involve restrictive covenants. To the extent that we raise additional funds through collaboration and licensing arrangements, it may be necessary to relinquish some rights to our technologies or product candidates, or grant licenses on terms that may not be favorable.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Given our capital constraints, we will need to prioritize spending on our clinical and preclinical programs. If we are unable to raise sufficient funds to support our current and planned operations, we may elect to discontinue certain of our ongoing activities or programs to focus on other clinical and preclinical programs. Our inability to raise additional funds could also prevent us from taking advantage of opportunities to pursue promising new or existing programs in the future. In the event that we would need to obtain additional funding, our ability to raise or access capital may be affected by macroeconomic events and disruptions to the banking and financial sectors. Failures of banks and other financial institutions, such as Silicon Valley Bank in March 2023, or issues in the broader U.S. financial system, including the federal government’s potential failure to raise the debt ceiling, may impact the broader capital markets, and in turn, may impact our ability to access those markets or negatively impact our investments. Further, a tightening of credit markets and lending standards could make it more difficult for us to raise capital through either debt or equity offerings on commercially reasonable terms or at all.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Our forecasts regarding our beliefs in the sufficiency of our financial resources to support our current and planned operations are forward-looking statements and involve significant risks and uncertainties, and actual results could vary as a result of a number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factors, including the factors discussed elsewhere in this “Risk Factors” section. These estimates are based on assumptions that may prove to be wrong, and we could utilize our available capital resources sooner than currently expected.</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Market conditions and changing circumstances, some of which may be beyond our control, could impair our ability to access our existing cash, cash equivalents and marketable securities and to timely pay key vendors and others.</w:t>
      </w:r>
    </w:p>
    <w:p>
      <w:pPr>
        <w:pStyle w:val="TextBody"/>
        <w:bidi w:val="0"/>
        <w:spacing w:before="120" w:after="283"/>
        <w:jc w:val="left"/>
        <w:rPr>
          <w:rFonts w:ascii="sans-serif" w:hAnsi="sans-serif"/>
          <w:color w:val="000000"/>
          <w:sz w:val="20"/>
        </w:rPr>
      </w:pPr>
      <w:r>
        <w:rPr>
          <w:rFonts w:ascii="sans-serif" w:hAnsi="sans-serif"/>
          <w:color w:val="000000"/>
          <w:sz w:val="20"/>
        </w:rPr>
        <w:t>Market conditions and changing circumstances, some of which may be beyond our control, could impair our ability to access our existing cash, cash equivalents and marketable securities and to timely pay key vendors and others. If banks and financial institutions with whom we have banking relationships enter receivership or become insolvent in the future, we may be unable to access, and we may lose, some or all of our existing cash, cash equivalents and marketable securities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marketable securities (or the loss of some or all of such funds) or to timely pay key vendors and others could have a material adverse effect on our operations and cause us to need to seek additional capital sooner than planned.</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have incurred and will continue to incur additional costs and increased demands upon management as a result of complying with the laws and regulations affecting public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have incurred and will continue to incur significant legal, accounting and other expenses as a public company, including costs associated with public company reporting obligations under the Exchange Act. Our executive officers and other personnel have devoted and will continue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ceased to be an emerging growth company on December 31, 2025 and ceased to be eligible to use the requirements for smaller reporting companies beginning with our Form 10-Q for the first fiscal quarter of 2026. Since we are no longer a smaller reporting company and no longer qualify for applicable exemptions, we are subject to additional laws and regulations affecting public companies that will increase our costs and the demands on management and could harm our operating results.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took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As a “smaller reporting company,” we took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ceased to be eligible to use the requirements for smaller reporting companies beginning with our Form 10-Q for the first fiscal quarter of 2026. Since we are no longer a smaller reporting company and no longer qualify for these exemptions, we are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identify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We ceased to be an emerging growth company on December 31, 2025, which was the end of the fifth fiscal year after the completion of our initial public offering. In addition, because the aggregate market value of our common stock held by non-affiliates exceeded $700 million as of June 30, 2025, we became ineligible to use the requirements for smaller reporting companies beginning with our Form 10-Q for the first fiscal quarter of 2026 and will remain a non-accelerated filer through 2026. When we are no longer a “non-accelerated filer,” we will have to provide more expansive disclosure regarding executive compensation in our periodic reports and be subject to shorter filing deadlines, which will require additional time and expense. We will also be required to comply with the auditor attestation requirements of Section 404 of the Sarbanes-Oxley 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Our issuance of additional capital stock pursuant to our equity incentive plan and employee stock purchase plan, or in connection with financings, acquisitions, or otherwise will dilute the interests of other security holders and may depress the price of our common stock.</w:t>
      </w:r>
    </w:p>
    <w:p>
      <w:pPr>
        <w:pStyle w:val="TextBody"/>
        <w:bidi w:val="0"/>
        <w:spacing w:before="120" w:after="283"/>
        <w:jc w:val="left"/>
        <w:rPr>
          <w:rFonts w:ascii="sans-serif" w:hAnsi="sans-serif"/>
          <w:color w:val="000000"/>
          <w:sz w:val="20"/>
        </w:rPr>
      </w:pPr>
      <w:r>
        <w:rPr>
          <w:rFonts w:ascii="sans-serif" w:hAnsi="sans-serif"/>
          <w:color w:val="000000"/>
          <w:sz w:val="20"/>
        </w:rPr>
        <w:t>We expect to grant equity awards to employees, directors and consultants under our equity incentive plan and employee stock purchase plan. We will need substantial additional funding before we can complete the development of our product candidates. We may also raise capital through equity financings in the future. For example, in March 2024, we sold 5,357,144 shares of our common stock and pre-funded warrants to purchase 1,071,505 shares of our common stock in the Private Placement; in June 2025, we completed the 2025 Public Offering where we sold 9,920,987 shares of our common stock and pre-funded warrants to purchase 1,780,263 shares of our common stock; and in June 2026, we completed the 2026 Public Offering where we sold 10,533,334 shares of our common stock and pre-funded warrants to purchase 1,733,333 shares of our common stock. Through June 30, 2026, we have sold 1,526,610 shares of our common stock pursuant to the Sales Agreement. As part of our growth strategy, we may seek to acquire companies and issue equity securities to pay for any such acquisition. Any such issuances of additional capital stock may cause stockholders to experience significant dilution of their ownership interests and the per share value of our common stock to decline.</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Provisions that are in our certificate of incorporation and bylaws and provisions under Delaware law could make an acquisition of our company, which may be beneficial to our stockholders, more difficult and may prevent attempts by our stockholders to replace or remove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Provisions that are included in our certificate of incorporation and bylaws may discourage, delay or prevent a merger, acquisition or other change in control of us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continue the use of a classified board of directors such that not all members of our board of directors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limit the manner in which stockholders can remove directors from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provide for advance notice requirements for stockholder proposals that can be acted on at stockholder meetings and for nominations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limit who may call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require that stockholder actions be effected at a duly called stockholder meeting;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require the approval of the holders of at least 75 percent of the votes that all of our stockholders would be entitled to cast to amend or repeal certain provisions of our certificate of incorporation or for our stockholders to amend our bylaws.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Moreover, because we are incorporated in Delaware, we are governed by the provisions of Section 203 of the Delaware General Corporation Law (the “DGCL”), which generally prohibits a person who, together with their affiliates and associates, owns 15% or more of the company’s outstanding voting stock from, among other things, merging or combining with the company for a period of three years after the date of the transaction in which the person acquired ownership of 15% or more of the company’s outstanding voting stock, unless the merger or combination is approved in a prescribed manner.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certificate of incorporation generally provides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is the sole and exclusive forum for the following types of proceedings: (1) any derivative action or proceeding brought on our behalf, (2) any action asserting a claim of breach of a fiduciary duty owed by any of our directors, officers, employees or stockholders to us or our stockholders, (3) any action asserting a claim arising pursuant to any provision of the DGCL or as to which the DGCL confers jurisdiction on the Court of Chancery of the State of Delaware or (4) any action asserting a claim arising pursuant to any provision of our restated certificate of incorporation or amended and restated bylaws (in each case, as they may be amended from time to time) or governed by the internal affairs doctrine. This choice of forum provision will not apply to suits brought to enforce a duty or liability created by the Securities Act, the Exchange Act or any other claim for which federal courts have exclusive jurisdiction.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This exclusive forum provision may make it more expensive for stockholders to bring a claim than if the stockholders were permitted to select another jurisdiction and may limit a stockholder’s ability to bring a claim in a judicial forum that it finds favorable for disputes with us or our directors, officers or other employees or stockholders, which may discourage such lawsuits against us and our directors, officers and other employees and stockholders. Alternatively, if a court were to find the choice of forum provision contained in our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Our ability to utilize our NOLs and tax credit carryforwards may be subject to limitations.</w:t>
      </w:r>
    </w:p>
    <w:p>
      <w:pPr>
        <w:pStyle w:val="TextBody"/>
        <w:bidi w:val="0"/>
        <w:spacing w:before="120" w:after="283"/>
        <w:jc w:val="left"/>
        <w:rPr>
          <w:rFonts w:ascii="sans-serif" w:hAnsi="sans-serif"/>
          <w:color w:val="000000"/>
          <w:sz w:val="20"/>
        </w:rPr>
      </w:pPr>
      <w:r>
        <w:rPr>
          <w:rFonts w:ascii="sans-serif" w:hAnsi="sans-serif"/>
          <w:color w:val="000000"/>
          <w:sz w:val="20"/>
        </w:rPr>
        <w:t>Following the Merger, our NOLs are attributable to current year losses, as well as both the historic pre-Merger NOLs of Former Enliven and our historic pre-Merger NOLs, subject to applicable limitations.</w:t>
      </w:r>
    </w:p>
    <w:p>
      <w:pPr>
        <w:pStyle w:val="TextBody"/>
        <w:bidi w:val="0"/>
        <w:jc w:val="left"/>
        <w:rPr>
          <w:rFonts w:ascii="sans-serif" w:hAnsi="sans-serif"/>
          <w:color w:val="000000"/>
          <w:sz w:val="20"/>
        </w:rPr>
      </w:pPr>
      <w:r>
        <w:rPr>
          <w:rFonts w:ascii="sans-serif" w:hAnsi="sans-serif"/>
          <w:color w:val="000000"/>
          <w:sz w:val="20"/>
        </w:rPr>
        <w:t>As of December 31, 2025, we had U.S. federal NOLs of approximately $266.9 million, of which approximately $258.9 million do not expire and approximately $8.0 million will begin to expire in 2037 for U.S. federal tax purposes. As of December 31, 2025, we also had state NOLs of approximately $342.6 million, which will expire at various dates through 2045.</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As of December 31, 2025, we had U.S. federal tax credit carryforwards of approximately $16.0 million, which will expire at various dates through 2045. We also had state tax credit carryforwards of approximately $3.1 million, of which approximately $2.3 million will not expire. The remaining state tax credit carryforwards will expire at various dates through 2040.</w:t>
      </w:r>
    </w:p>
    <w:p>
      <w:pPr>
        <w:pStyle w:val="TextBody"/>
        <w:bidi w:val="0"/>
        <w:jc w:val="left"/>
        <w:rPr>
          <w:rFonts w:ascii="sans-serif" w:hAnsi="sans-serif"/>
          <w:color w:val="000000"/>
          <w:sz w:val="20"/>
        </w:rPr>
      </w:pPr>
      <w:r>
        <w:rPr>
          <w:rFonts w:ascii="sans-serif" w:hAnsi="sans-serif"/>
          <w:color w:val="000000"/>
          <w:sz w:val="20"/>
        </w:rPr>
        <w:t>In general, our ability to use our NOLs and tax credit carryforwards to offset potential future taxable income and related income taxes that would otherwise be due is dependent upon our generation of future taxable income, and we cannot predict with certainty when, or whether, we will generate sufficient taxable income to use all of our NOLs and tax credit carryforwards. For U.S. federal income tax purposes, our NOLs generated in tax years beginning after December 31, 2017 may be carried forward indefinitely, but for taxable years beginning after December 31, 2020, the deductibility of federal NOLs is limited to 80% of current year taxable income. In addition, at the state level, there may be periods during which the use of NOLs is suspended or otherwise limited, which could accelerate or permanently increase state income taxes owed. For example, recently enacted California legislation limits the use of state NOLs for tax years beginning on or after January 1, 2024 and before January 1, 2027. As a result of this legislation or other unforeseen reasons, we may not be able to utilize some or all of our California NOLs, even if we attain profitability.</w:t>
      </w:r>
    </w:p>
    <w:p>
      <w:pPr>
        <w:pStyle w:val="TextBody"/>
        <w:bidi w:val="0"/>
        <w:jc w:val="left"/>
        <w:rPr>
          <w:rFonts w:ascii="Times New Roman" w:hAnsi="Times New Roman"/>
          <w:sz w:val="20"/>
        </w:rPr>
      </w:pPr>
      <w:r>
        <w:rPr>
          <w:rFonts w:ascii="sans-serif" w:hAnsi="sans-serif"/>
          <w:color w:val="000000"/>
          <w:sz w:val="20"/>
        </w:rPr>
        <w:t>In addition, under Section 382 and Section 383 of the Internal Revenue Code of 1986, as amended (the “IRC”), and corresponding provisions of state law, if a corporation undergoes an “ownership change,” its ability to use its pre-change NOLs and other pre-change tax attributes (such as tax credit carryforwards) to offset its post-change income may be limited, including as a result of ownership changes that are beyond its control. A Section 382 “ownership change” is generally defined as a greater than 50 percentage point change (by value) in the company’s equity ownership by certain “5-percent shareholders” over a rolling three-year period. There is also a risk that due to regulatory changes, such as suspensions on the use of NOLs, or other unforeseen reasons, existing NOLs could expire or otherwise be unavailable to offset future income tax liabilities. We have completed an analysis through December 31, 2025, and determined that ownership changes have occurred under Section 382 in the past, including in 2023 due to the Merger. No ownership changes occurred in 2025. Our deferred tax assets have been reduced by the amount of NOLs and tax credit carryforwards expected to expire unused due to the Section 382 and Section 383 limitations. We may experience subsequent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shifts in our stock ownership, some of which are outside of our control. As a result, if we earn net taxable income and determine that an ownership change has occurred and our ability to use our historical NOLs and tax credit carryforwards are materially limited, it will adversely affect our future operating results by effectively increasing our future income tax obligations.</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Changes in tax laws or in their implementation may adversely affect our business, operating results, or financial condition.</w:t>
      </w:r>
    </w:p>
    <w:p>
      <w:pPr>
        <w:pStyle w:val="TextBody"/>
        <w:bidi w:val="0"/>
        <w:spacing w:before="120" w:after="283"/>
        <w:jc w:val="left"/>
        <w:rPr>
          <w:rFonts w:ascii="sans-serif" w:hAnsi="sans-serif"/>
          <w:color w:val="000000"/>
          <w:sz w:val="20"/>
        </w:rPr>
      </w:pPr>
      <w:r>
        <w:rPr>
          <w:rFonts w:ascii="sans-serif" w:hAnsi="sans-serif"/>
          <w:color w:val="000000"/>
          <w:sz w:val="20"/>
        </w:rPr>
        <w:t>Changes in tax laws, including changes to tax rates, tax treaties, and regulations or their interpretation, may cause us to experience fluctuations in our tax obligations and effective tax rates and otherwise may adversely affect our business, operating results, or financial condition. For instance, beginning in 2022, the Tax Cuts and Jobs Act of 2017 eliminated the option to immediately deduct research and experimental (“R&amp;E”) expenditures under IRC Section 174, instead requiring taxpayers to amortize such costs over a period of five years for domestic expenses and 15 years for foreign-based activities. On July 4, 2025, the One Big Beautiful Bill Act was signed into law, which reinstates the immediate expensing of domestic R&amp;E expenditures. The impact of this new legislation on our tax position will depend on its implementation and interpretation by the IRS and other regulatory authorities. Moreover, there can be no assurance as to whether, when, or how this provision may be further amended or repealed, and it is uncertain whether and to what extent various states will conform to the federal tax laws.</w:t>
      </w:r>
    </w:p>
    <w:p>
      <w:pPr>
        <w:pStyle w:val="TextBody"/>
        <w:bidi w:val="0"/>
        <w:jc w:val="left"/>
        <w:rPr>
          <w:rFonts w:ascii="sans-serif" w:hAnsi="sans-serif"/>
          <w:color w:val="000000"/>
          <w:sz w:val="20"/>
        </w:rPr>
      </w:pPr>
      <w:r>
        <w:rPr>
          <w:rFonts w:ascii="sans-serif" w:hAnsi="sans-serif"/>
          <w:color w:val="000000"/>
          <w:sz w:val="20"/>
        </w:rPr>
        <w:t>Any of these developments or future changes in federal, state, or international tax laws or tax rulings, including the release of regulatory guidance, could adversely affect our effective tax rate and otherwise affect our business, operating results, or financial condition.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do not anticipate that we will pay any cash dividends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There may not be an active trading market for our common stock and our stockholders may not be able to resell their shares of common stock for a profit,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Prior to the Merger, there had been no public market for shares of Former Enliven capital stock. An active trading market for our shares of common stock may not be sustained. If an active market for our common stock is not sustained, it may be difficult for our stockholders to sell their shares at an attractive price or at 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Future sales of shares by existing stockholders could cause our stock price to decline.</w:t>
      </w:r>
    </w:p>
    <w:p>
      <w:pPr>
        <w:pStyle w:val="TextBody"/>
        <w:bidi w:val="0"/>
        <w:spacing w:before="120" w:after="283"/>
        <w:jc w:val="left"/>
        <w:rPr>
          <w:rFonts w:ascii="sans-serif" w:hAnsi="sans-serif"/>
          <w:color w:val="000000"/>
          <w:sz w:val="20"/>
        </w:rPr>
      </w:pPr>
      <w:r>
        <w:rPr>
          <w:rFonts w:ascii="sans-serif" w:hAnsi="sans-serif"/>
          <w:color w:val="000000"/>
          <w:sz w:val="20"/>
        </w:rPr>
        <w:t>Sales of a substantial number of shares of our common stock in the public market could occur at any time, including under the Automatic Shelf Registration Statement or the Sales Agreement. Further, if our existing securityholders sell, or indicate an intention to sell, substantial amounts of our common stock in the public market, the trading price of our common stock could decline. Approximately 18 million shares became available for sale in the public market 180 days after the closing of the Merger as a result of the expiration of lock-up agreements. All other outstanding shares of common stock, other than shares held by our affiliates, are freely tradable, without restriction, in the public market. In addition, shares of common stock that are subject to our outstanding options will become eligible for sale in the public market to the extent permitted by the provisions of various vesting agreements and Rules 144 and 701 under the Securities Act. If these shares are sold, the trading price of our common stock could decline.</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Our executive officers, directors and principal stockholders will have the ability to significantly influence all matters submitted to our stockholders for approval.</w:t>
      </w:r>
    </w:p>
    <w:p>
      <w:pPr>
        <w:pStyle w:val="TextBody"/>
        <w:bidi w:val="0"/>
        <w:spacing w:before="120" w:after="283"/>
        <w:jc w:val="left"/>
        <w:rPr>
          <w:rFonts w:ascii="Times New Roman" w:hAnsi="Times New Roman"/>
          <w:sz w:val="20"/>
        </w:rPr>
      </w:pPr>
      <w:r>
        <w:rPr>
          <w:rFonts w:ascii="sans-serif" w:hAnsi="sans-serif"/>
          <w:color w:val="000000"/>
          <w:sz w:val="20"/>
        </w:rPr>
        <w:t>As of June 30, 2026, our executive officers, directors, holders of 5% or more of our capital stock and their respective affiliates beneficially owned approximately 34.4% of our voting stock. As a result, if these stockholders were to choose to act together, they would be able to significantly influence all matters submitted to our stockholders for approval, as well as our management and affairs, for example, the election of directors and approval of any merger, consolidation or sale of all or substantially all of our assets. This concentration of voting power could delay or prevent an acquisition of our company on terms that other stockholders may desire.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The trading market for our common stock will be influenced by the research and reports that equity research analysts publish about us and our business. Equity research analysts may elect not to provide research coverage of our common stock, and such lack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color w:val="000000"/>
          <w:sz w:val="20"/>
        </w:rPr>
        <w:t>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We have broad discretion in the use of our cash, cash equivalents and marketable securities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We have broad discretion over the use of our cash, cash equivalents and marketable securities.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Our internal control over financial reporting may not meet the standards required by Section 404 of the Sarbanes-Oxley Act, and failure to achieve and maintain effective internal control over financial reporting in accordance with Section 404 of the Sarbanes-Oxley Act, could have a material adverse effect on our business and share price.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Our management is required to report on the effectiveness of our internal control over financial reporting. The rules governing the standards that must be met for our management to assess our internal control over financial reporting are complex and require significant documentation, testing and possible remediation.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i/>
          <w:color w:val="000000"/>
          <w:sz w:val="20"/>
        </w:rPr>
        <w:t>Our operations are vulnerable to interruption by flood, fire, earthquakes, power loss, telecommunications failure, terrorist activity, pandemics and other events beyond our control, which could harm our business.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Our office facilities are located in California. We have not undertaken a systematic analysis of the potential consequences to our business and financial results from a major blizzard, flood, fire, earthquake, power loss, telecommunications failure,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CROs and suppliers’ facilities are located in multiple locations where other natural disasters or similar events which could severely disrupt our operations, could expose us to liability and could have a material adverse effect on our business. In addition, telecommunication system failures or disruptions could significantly disrupt our operations since our employees are primarily working remotely. The occurrence of any of these business disruptions could seriously harm our operations and financial condition and increase our costs and expenses. In addition, concerns about terrorism, the effects of a terrorist attack, political turmoil or public health emergency, health epidemic (including COVID-19) or other outbreak could have a negative effect on our operations and the operations of our suppliers, which could harm our business, financial condition and results of operations.</w:t>
      </w:r>
    </w:p>
    <w:p>
      <w:pPr>
        <w:pStyle w:val="TextBody"/>
        <w:bidi w:val="0"/>
        <w:spacing w:before="200" w:after="283"/>
        <w:jc w:val="left"/>
        <w:rPr>
          <w:rFonts w:ascii="sans-serif" w:hAnsi="sans-serif"/>
          <w:b/>
          <w:color w:val="000000"/>
          <w:sz w:val="20"/>
        </w:rPr>
      </w:pPr>
      <w:bookmarkStart w:id="25" w:name="item_2_unregistered_sale_equity_securiti"/>
      <w:bookmarkEnd w:id="25"/>
      <w:r>
        <w:rPr>
          <w:rFonts w:ascii="sans-serif" w:hAnsi="sans-serif"/>
          <w:b/>
          <w:color w:val="000000"/>
          <w:sz w:val="20"/>
        </w:rPr>
        <w:t>Item 2. Unregistered Sales of Equity Securities and Use of Proceeds.</w:t>
      </w:r>
    </w:p>
    <w:p>
      <w:pPr>
        <w:pStyle w:val="TextBody"/>
        <w:bidi w:val="0"/>
        <w:spacing w:before="12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sans-serif" w:hAnsi="sans-serif"/>
          <w:b/>
          <w:color w:val="000000"/>
          <w:sz w:val="20"/>
        </w:rPr>
      </w:pPr>
      <w:r>
        <w:rPr>
          <w:rFonts w:ascii="sans-serif" w:hAnsi="sans-serif"/>
          <w:b/>
          <w:color w:val="000000"/>
          <w:sz w:val="20"/>
        </w:rPr>
        <w:t>Use of Proceeds from Registered Securities</w:t>
      </w:r>
    </w:p>
    <w:p>
      <w:pPr>
        <w:pStyle w:val="TextBody"/>
        <w:bidi w:val="0"/>
        <w:spacing w:before="12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Times New Roman" w:hAnsi="Times New Roman"/>
          <w:sz w:val="20"/>
        </w:rPr>
      </w:pPr>
      <w:bookmarkStart w:id="26" w:name="item_3_defaults_upon_senior_securities"/>
      <w:bookmarkEnd w:id="26"/>
      <w:r>
        <w:rPr>
          <w:rFonts w:ascii="sans-serif" w:hAnsi="sans-serif"/>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0"/>
        </w:rPr>
        <w:t>Not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sans-serif" w:hAnsi="sans-serif"/>
          <w:b/>
          <w:color w:val="000000"/>
          <w:sz w:val="20"/>
        </w:rPr>
      </w:pPr>
      <w:bookmarkStart w:id="27" w:name="item_4_mine_safety_disclosures"/>
      <w:bookmarkEnd w:id="27"/>
      <w:r>
        <w:rPr>
          <w:rFonts w:ascii="sans-serif" w:hAnsi="sans-serif"/>
          <w:b/>
          <w:color w:val="000000"/>
          <w:sz w:val="20"/>
        </w:rPr>
        <w:t>Item 4. Mine Safety Disclosures.</w:t>
      </w:r>
    </w:p>
    <w:p>
      <w:pPr>
        <w:pStyle w:val="TextBody"/>
        <w:bidi w:val="0"/>
        <w:spacing w:before="120" w:after="283"/>
        <w:jc w:val="left"/>
        <w:rPr>
          <w:rFonts w:ascii="sans-serif" w:hAnsi="sans-serif"/>
          <w:color w:val="000000"/>
          <w:sz w:val="20"/>
        </w:rPr>
      </w:pPr>
      <w:r>
        <w:rPr>
          <w:rFonts w:ascii="sans-serif" w:hAnsi="sans-serif"/>
          <w:color w:val="000000"/>
          <w:sz w:val="20"/>
        </w:rPr>
        <w:t>Not applicable.</w:t>
      </w:r>
    </w:p>
    <w:p>
      <w:pPr>
        <w:pStyle w:val="TextBody"/>
        <w:bidi w:val="0"/>
        <w:spacing w:before="200" w:after="283"/>
        <w:jc w:val="left"/>
        <w:rPr>
          <w:rFonts w:ascii="sans-serif" w:hAnsi="sans-serif"/>
          <w:b/>
          <w:color w:val="000000"/>
          <w:sz w:val="20"/>
        </w:rPr>
      </w:pPr>
      <w:bookmarkStart w:id="28" w:name="item_5_or_information"/>
      <w:bookmarkEnd w:id="28"/>
      <w:r>
        <w:rPr>
          <w:rFonts w:ascii="sans-serif" w:hAnsi="sans-serif"/>
          <w:b/>
          <w:color w:val="000000"/>
          <w:sz w:val="20"/>
        </w:rPr>
        <w:t>Item 5. Other Information.</w:t>
      </w:r>
    </w:p>
    <w:p>
      <w:pPr>
        <w:pStyle w:val="TextBody"/>
        <w:bidi w:val="0"/>
        <w:spacing w:before="120" w:after="283"/>
        <w:jc w:val="left"/>
        <w:rPr>
          <w:rFonts w:ascii="Times New Roman" w:hAnsi="Times New Roman"/>
          <w:sz w:val="20"/>
        </w:rPr>
      </w:pPr>
      <w:r>
        <w:rPr>
          <w:rFonts w:ascii="sans-serif" w:hAnsi="sans-serif"/>
          <w:color w:val="000000"/>
          <w:sz w:val="20"/>
        </w:rPr>
        <w:t>During our last fiscal quarter, no officers or directors, as defined in Rule 16a-1(f), adopted</w:t>
      </w:r>
      <w:r>
        <w:rPr>
          <w:rFonts w:ascii="Times New Roman" w:hAnsi="Times New Roman"/>
          <w:color w:val="000000"/>
          <w:sz w:val="20"/>
        </w:rPr>
        <w:t xml:space="preserve"> </w:t>
      </w:r>
      <w:r>
        <w:rPr>
          <w:rFonts w:ascii="sans-serif" w:hAnsi="sans-serif"/>
          <w:color w:val="000000"/>
          <w:sz w:val="20"/>
        </w:rPr>
        <w:t>and/or terminated</w:t>
      </w:r>
      <w:r>
        <w:rPr>
          <w:rFonts w:ascii="Times New Roman" w:hAnsi="Times New Roman"/>
          <w:color w:val="000000"/>
          <w:sz w:val="20"/>
        </w:rPr>
        <w:t xml:space="preserve"> </w:t>
      </w:r>
      <w:r>
        <w:rPr>
          <w:rFonts w:ascii="sans-serif" w:hAnsi="sans-serif"/>
          <w:color w:val="000000"/>
          <w:sz w:val="20"/>
        </w:rPr>
        <w:t>a “Rule 10b5-1 trading arrangement” or a “non-Rule 10b5-1 trading arrangement,”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b/>
          <w:color w:val="000000"/>
          <w:sz w:val="20"/>
        </w:rPr>
      </w:pPr>
      <w:bookmarkStart w:id="29" w:name="item_6_exhibits"/>
      <w:bookmarkEnd w:id="29"/>
      <w:r>
        <w:rPr>
          <w:rFonts w:ascii="sans-serif" w:hAnsi="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61"/>
        <w:gridCol w:w="146"/>
        <w:gridCol w:w="5192"/>
        <w:gridCol w:w="146"/>
        <w:gridCol w:w="586"/>
        <w:gridCol w:w="146"/>
        <w:gridCol w:w="791"/>
        <w:gridCol w:w="146"/>
        <w:gridCol w:w="766"/>
        <w:gridCol w:w="146"/>
        <w:gridCol w:w="1279"/>
      </w:tblGrid>
      <w:tr>
        <w:trPr/>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60"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Incorporated by Reference</w:t>
            </w:r>
          </w:p>
        </w:tc>
      </w:tr>
      <w:tr>
        <w:trPr/>
        <w:tc>
          <w:tcPr>
            <w:tcW w:w="861"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Exhibit</w:t>
            </w:r>
          </w:p>
          <w:p>
            <w:pPr>
              <w:pStyle w:val="TableContents"/>
              <w:bidi w:val="0"/>
              <w:spacing w:before="0" w:after="283"/>
              <w:jc w:val="center"/>
              <w:rPr>
                <w:rFonts w:ascii="sans-serif" w:hAnsi="sans-serif"/>
                <w:b/>
                <w:color w:val="000000"/>
                <w:sz w:val="16"/>
              </w:rPr>
            </w:pPr>
            <w:r>
              <w:rPr>
                <w:rFonts w:ascii="sans-serif" w:hAnsi="sans-serif"/>
                <w:b/>
                <w:color w:val="000000"/>
                <w:sz w:val="16"/>
              </w:rPr>
              <w:t>Number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51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Exhibit Description</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Form</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File 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Exhibit</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12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Filing Date</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92" w:type="dxa"/>
            <w:tcBorders/>
            <w:tcMar>
              <w:top w:w="0" w:type="dxa"/>
              <w:left w:w="0" w:type="dxa"/>
              <w:bottom w:w="0" w:type="dxa"/>
              <w:right w:w="0" w:type="dxa"/>
            </w:tcMar>
            <w:vAlign w:val="center"/>
          </w:tcPr>
          <w:p>
            <w:pPr>
              <w:pStyle w:val="TableContents"/>
              <w:bidi w:val="0"/>
              <w:spacing w:before="0" w:after="283"/>
              <w:jc w:val="left"/>
              <w:rPr/>
            </w:pPr>
            <w:hyperlink w:anchor="elvn-ex3_1.htm">
              <w:r>
                <w:rPr>
                  <w:rStyle w:val="InternetLink"/>
                  <w:rFonts w:ascii="sans-serif" w:hAnsi="sans-serif"/>
                  <w:color w:val="0000FF"/>
                  <w:sz w:val="20"/>
                  <w:u w:val="single"/>
                </w:rPr>
                <w:t>The Company's Restated Certificate of Incorporation, as amended June 9,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Filed herewith</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9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001-39247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June 12, 2026</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tcBorders/>
            <w:tcMar>
              <w:top w:w="0" w:type="dxa"/>
              <w:left w:w="0" w:type="dxa"/>
              <w:bottom w:w="0" w:type="dxa"/>
              <w:right w:w="0" w:type="dxa"/>
            </w:tcMar>
            <w:vAlign w:val="center"/>
          </w:tcPr>
          <w:p>
            <w:pPr>
              <w:pStyle w:val="TableContents"/>
              <w:bidi w:val="0"/>
              <w:spacing w:before="0" w:after="283"/>
              <w:jc w:val="left"/>
              <w:rPr/>
            </w:pPr>
            <w:hyperlink w:anchor="elvn-ex31_1.htm">
              <w:r>
                <w:rPr>
                  <w:rStyle w:val="InternetLink"/>
                  <w:rFonts w:ascii="sans-serif" w:hAnsi="sans-serif"/>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Filed herewith</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tcBorders/>
            <w:tcMar>
              <w:top w:w="0" w:type="dxa"/>
              <w:left w:w="0" w:type="dxa"/>
              <w:bottom w:w="0" w:type="dxa"/>
              <w:right w:w="0" w:type="dxa"/>
            </w:tcMar>
            <w:vAlign w:val="center"/>
          </w:tcPr>
          <w:p>
            <w:pPr>
              <w:pStyle w:val="TableContents"/>
              <w:bidi w:val="0"/>
              <w:spacing w:before="0" w:after="283"/>
              <w:jc w:val="left"/>
              <w:rPr/>
            </w:pPr>
            <w:hyperlink w:anchor="elvn-ex31_2.htm">
              <w:r>
                <w:rPr>
                  <w:rStyle w:val="InternetLink"/>
                  <w:rFonts w:ascii="sans-serif" w:hAnsi="sans-serif"/>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Filed herewith</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tcBorders/>
            <w:tcMar>
              <w:top w:w="0" w:type="dxa"/>
              <w:left w:w="0" w:type="dxa"/>
              <w:bottom w:w="0" w:type="dxa"/>
              <w:right w:w="0" w:type="dxa"/>
            </w:tcMar>
            <w:vAlign w:val="center"/>
          </w:tcPr>
          <w:p>
            <w:pPr>
              <w:pStyle w:val="TableContents"/>
              <w:bidi w:val="0"/>
              <w:spacing w:before="0" w:after="283"/>
              <w:jc w:val="left"/>
              <w:rPr/>
            </w:pPr>
            <w:hyperlink w:anchor="elvn-ex32_1.htm">
              <w:r>
                <w:rPr>
                  <w:rStyle w:val="InternetLink"/>
                  <w:rFonts w:ascii="sans-serif" w:hAnsi="sans-serif"/>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Furnished herewith</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tcBorders/>
            <w:tcMar>
              <w:top w:w="0" w:type="dxa"/>
              <w:left w:w="0" w:type="dxa"/>
              <w:bottom w:w="0" w:type="dxa"/>
              <w:right w:w="0" w:type="dxa"/>
            </w:tcMar>
            <w:vAlign w:val="center"/>
          </w:tcPr>
          <w:p>
            <w:pPr>
              <w:pStyle w:val="TableContents"/>
              <w:bidi w:val="0"/>
              <w:spacing w:before="0" w:after="283"/>
              <w:jc w:val="left"/>
              <w:rPr/>
            </w:pPr>
            <w:hyperlink w:anchor="elvn-ex32_2.htm">
              <w:r>
                <w:rPr>
                  <w:rStyle w:val="InternetLink"/>
                  <w:rFonts w:ascii="sans-serif" w:hAnsi="sans-serif"/>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Furnished herewith</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Furnished herewith</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Furnished herewith</w:t>
            </w:r>
          </w:p>
        </w:tc>
      </w:tr>
      <w:tr>
        <w:trPr/>
        <w:tc>
          <w:tcPr>
            <w:tcW w:w="8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Furnished herewith</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certifications attached as Exhibits 32.1 and 32.2 that accompany this quarterly report on Form 10-Q are not deemed filed with the Securities and Exchange Commission and are not to be incorporated by reference into any filing of Enliven Therapeutics, Inc. under the Securities Act of 1933, as amended, or the Securities Exchange Act of 1934, as amended, whether made before or after the date of this Form 10-Q, irrespective of any general incorporation language contained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30" w:name="signatures"/>
      <w:bookmarkEnd w:id="30"/>
      <w:r>
        <w:rPr>
          <w:rFonts w:ascii="sans-serif" w:hAnsi="sans-serif"/>
          <w:b/>
          <w:color w:val="000000"/>
          <w:sz w:val="20"/>
        </w:rPr>
        <w:t>SIGNATURES</w:t>
      </w:r>
    </w:p>
    <w:p>
      <w:pPr>
        <w:pStyle w:val="TextBody"/>
        <w:bidi w:val="0"/>
        <w:spacing w:before="24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bookmarkStart w:id="31" w:name="part_iv"/>
      <w:bookmarkStart w:id="32" w:name="part_iii"/>
      <w:bookmarkEnd w:id="31"/>
      <w:bookmarkEnd w:id="32"/>
      <w:r>
        <w:rPr/>
        <w:t> </w:t>
      </w:r>
    </w:p>
    <w:tbl>
      <w:tblPr>
        <w:tblW w:w="8173" w:type="dxa"/>
        <w:jc w:val="left"/>
        <w:tblInd w:w="0" w:type="dxa"/>
        <w:tblLayout w:type="fixed"/>
        <w:tblCellMar>
          <w:top w:w="28" w:type="dxa"/>
          <w:left w:w="28" w:type="dxa"/>
          <w:bottom w:w="28" w:type="dxa"/>
          <w:right w:w="28" w:type="dxa"/>
        </w:tblCellMar>
      </w:tblPr>
      <w:tblGrid>
        <w:gridCol w:w="766"/>
        <w:gridCol w:w="695"/>
        <w:gridCol w:w="699"/>
        <w:gridCol w:w="146"/>
        <w:gridCol w:w="980"/>
        <w:gridCol w:w="716"/>
        <w:gridCol w:w="966"/>
        <w:gridCol w:w="966"/>
        <w:gridCol w:w="966"/>
        <w:gridCol w:w="1273"/>
      </w:tblGrid>
      <w:tr>
        <w:trPr/>
        <w:tc>
          <w:tcPr>
            <w:tcW w:w="76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Enliven Therapeutics, Inc.</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4887" w:type="dxa"/>
            <w:gridSpan w:val="5"/>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Richard Fair</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Richard Fair</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President and Chief Executive Officer</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(Principal Executive Officer)</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4887" w:type="dxa"/>
            <w:gridSpan w:val="5"/>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Benjamin Hohl</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Benjamin Hohl</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Chief Financial Officer</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(Principal Financial and Accounting Officer)</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3" w:name="elvn-ex3_1.htm"/>
      <w:bookmarkStart w:id="34" w:name="kselvnex3_1"/>
      <w:bookmarkEnd w:id="33"/>
      <w:bookmarkEnd w:id="34"/>
      <w:r>
        <w:rPr>
          <w:rFonts w:ascii="Times New Roman" w:hAnsi="Times New Roman"/>
          <w:b/>
          <w:color w:val="000000"/>
          <w:sz w:val="24"/>
        </w:rPr>
        <w:t>Exhibit 3.1</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RESTATED CERTIFICATE OF INCORPORATION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OF</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IMARA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IMARA Inc., a corporation organized and existing under the General Corporation Law of the State of Delaware, does hereby certify that the name of the corporation is IMARA Inc. and the original certificate of incorporation of the corporation was filed with the Secretary of State of the State of Delaware on January 26, 2016. This Restated Certificate of Incorporation, having been duly adopted in accordance with Sections 228, 242 and 245 of the General Corporation Law of the State of Delaware, restates, integrates and amends the certificate of Incorporation of the Corporation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FIRST: The name of the Corporation is IMARA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 The address of the Corporation’s registered office in the State of Delaware is Corporation Trust Center, 1209 Orange Street, in the City of Wilmington, County of New Castle, 19801. The name of its registered agent at that address is The Corporation Trust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The nature of the business or purposes to be conducted or promoted by the Corporation is to engage in any lawful act or activity for which corporations may be organized under the General Corporation Law of the State of Delaware.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FOURTH: The total number of shares of all classes of stock that the Corporation shall have authority to issue is 210,000,000 shares, consisting of (i) 200,000,000 shares of Common Stock, $0.001 par value per share (“Common Stock”), and (ii) 10,000,000 shares of Preferred Stock, $0.001 par value per share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statement of the designations and the powers, privileges and rights, and the qualifications, limitations or restrictions thereof in respect of each class of capital stock of the Corporation.</w:t>
      </w:r>
    </w:p>
    <w:tbl>
      <w:tblPr>
        <w:tblW w:w="2027" w:type="dxa"/>
        <w:jc w:val="left"/>
        <w:tblInd w:w="0" w:type="dxa"/>
        <w:tblLayout w:type="fixed"/>
        <w:tblCellMar>
          <w:top w:w="28" w:type="dxa"/>
          <w:left w:w="28" w:type="dxa"/>
          <w:bottom w:w="28" w:type="dxa"/>
          <w:right w:w="28" w:type="dxa"/>
        </w:tblCellMar>
      </w:tblPr>
      <w:tblGrid>
        <w:gridCol w:w="256"/>
        <w:gridCol w:w="1771"/>
      </w:tblGrid>
      <w:tr>
        <w:trPr/>
        <w:tc>
          <w:tcPr>
            <w:tcW w:w="25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COMMON STOCK</w:t>
            </w: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General</w:t>
      </w:r>
      <w:r>
        <w:rPr>
          <w:rFonts w:ascii="Times New Roman" w:hAnsi="Times New Roman"/>
          <w:color w:val="000000"/>
          <w:sz w:val="20"/>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Voting</w:t>
      </w:r>
      <w:r>
        <w:rPr>
          <w:rFonts w:ascii="Times New Roman" w:hAnsi="Times New Roman"/>
          <w:color w:val="000000"/>
          <w:sz w:val="20"/>
        </w:rPr>
        <w:t xml:space="preserve">. The holders of the Common Stock shall have voting rights at all meetings of stockholders, each such holder being entitled to one vote for each share thereof held by such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Dividends</w:t>
      </w:r>
      <w:r>
        <w:rPr>
          <w:rFonts w:ascii="Times New Roman" w:hAnsi="Times New Roman"/>
          <w:color w:val="000000"/>
          <w:sz w:val="20"/>
        </w:rPr>
        <w:t>. Dividends may be declared and paid on the Common Stock from funds lawfully available therefor if, as and when determined by the Board of Directors and subject to any preferential dividend or other rights of any then outstanding Preferred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Liquidation</w:t>
      </w:r>
      <w:r>
        <w:rPr>
          <w:rFonts w:ascii="Times New Roman" w:hAnsi="Times New Roman"/>
          <w:color w:val="000000"/>
          <w:sz w:val="20"/>
        </w:rPr>
        <w:t>. Upon the dissolution, liquidation or winding up of the Corporation, whether voluntary or involuntary, holders of Common Stock will be entitled to receive all assets of the Corporation available for distribution to its stockholders, subject to any preferential or other rights of any then outstanding Preferred Stock.</w:t>
      </w:r>
    </w:p>
    <w:tbl>
      <w:tblPr>
        <w:tblW w:w="2237" w:type="dxa"/>
        <w:jc w:val="left"/>
        <w:tblInd w:w="0" w:type="dxa"/>
        <w:tblLayout w:type="fixed"/>
        <w:tblCellMar>
          <w:top w:w="28" w:type="dxa"/>
          <w:left w:w="28" w:type="dxa"/>
          <w:bottom w:w="28" w:type="dxa"/>
          <w:right w:w="28" w:type="dxa"/>
        </w:tblCellMar>
      </w:tblPr>
      <w:tblGrid>
        <w:gridCol w:w="256"/>
        <w:gridCol w:w="1981"/>
      </w:tblGrid>
      <w:tr>
        <w:trPr/>
        <w:tc>
          <w:tcPr>
            <w:tcW w:w="25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PREFERRED STOCK</w:t>
            </w: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Preferred Stock that may be redeemed, purchased or acquired by the Corporation may be reissued except as otherwise provided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 The powers, preferences and relative, participating, optional and other special rights of each series of Preferred Stock, and the qualifications, limitations or restrictions thereof, if any, may differ from those of any and all other series at any time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General Corporation Law of the State of Delaware.</w:t>
      </w:r>
    </w:p>
    <w:p>
      <w:pPr>
        <w:pStyle w:val="TextBody"/>
        <w:bidi w:val="0"/>
        <w:jc w:val="left"/>
        <w:rPr>
          <w:rFonts w:ascii="Times New Roman" w:hAnsi="Times New Roman"/>
          <w:color w:val="000000"/>
          <w:sz w:val="20"/>
        </w:rPr>
      </w:pPr>
      <w:r>
        <w:rPr>
          <w:rFonts w:ascii="Times New Roman" w:hAnsi="Times New Roman"/>
          <w:color w:val="000000"/>
          <w:sz w:val="20"/>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votes that all the stockholders would be entitled to cast in an election of directors or class of directors.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SIXTH.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of directors, then the liability of a director of the Corporation shall be eliminated or limited to the fullest extent permitted by the General Corporation Law of the State of Delaware as so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EIGHTH: The Corporation shall provide indemnification and advancement of expenses as follows: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Actions, Suits and Proceedings Other than by or in the Right of the Corporation</w:t>
      </w:r>
      <w:r>
        <w:rPr>
          <w:rFonts w:ascii="Times New Roman" w:hAnsi="Times New Roman"/>
          <w:color w:val="000000"/>
          <w:sz w:val="20"/>
        </w:rPr>
        <w:t xml:space="preserve">.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hAnsi="Times New Roman"/>
          <w:color w:val="000000"/>
          <w:sz w:val="20"/>
          <w:u w:val="single"/>
        </w:rPr>
        <w:t xml:space="preserve">nolo contendere </w:t>
      </w:r>
      <w:r>
        <w:rPr>
          <w:rFonts w:ascii="Times New Roman" w:hAnsi="Times New Roman"/>
          <w:color w:val="000000"/>
          <w:sz w:val="20"/>
        </w:rPr>
        <w:t>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Actions or Suits by or in the Right of the Corporation</w:t>
      </w:r>
      <w:r>
        <w:rPr>
          <w:rFonts w:ascii="Times New Roman" w:hAnsi="Times New Roman"/>
          <w:color w:val="000000"/>
          <w:sz w:val="20"/>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Indemnification for Expenses of Successful Party</w:t>
      </w:r>
      <w:r>
        <w:rPr>
          <w:rFonts w:ascii="Times New Roman" w:hAnsi="Times New Roman"/>
          <w:color w:val="000000"/>
          <w:sz w:val="20"/>
        </w:rPr>
        <w:t xml:space="preserve">.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w:t>
      </w:r>
      <w:r>
        <w:rPr>
          <w:rFonts w:ascii="Times New Roman" w:hAnsi="Times New Roman"/>
          <w:color w:val="000000"/>
          <w:sz w:val="20"/>
          <w:u w:val="single"/>
        </w:rPr>
        <w:t>nolo contendere</w:t>
      </w:r>
      <w:r>
        <w:rPr>
          <w:rFonts w:ascii="Times New Roman" w:hAnsi="Times New Roman"/>
          <w:color w:val="000000"/>
          <w:sz w:val="20"/>
        </w:rPr>
        <w:t xml:space="preserv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pStyle w:val="TextBody"/>
        <w:bidi w:val="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Notification and Defense of Claim</w:t>
      </w:r>
      <w:r>
        <w:rPr>
          <w:rFonts w:ascii="Times New Roman" w:hAnsi="Times New Roman"/>
          <w:color w:val="000000"/>
          <w:sz w:val="20"/>
        </w:rPr>
        <w:t xml:space="preserve">. As a condition precedent to an Indemnitee’s right to be indemnified, such Indemnitee must notify the Corporation in writing as soon as practicable of any action, suit, proceeding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Advancement of Expenses</w:t>
      </w:r>
      <w:r>
        <w:rPr>
          <w:rFonts w:ascii="Times New Roman" w:hAnsi="Times New Roman"/>
          <w:color w:val="000000"/>
          <w:sz w:val="20"/>
        </w:rPr>
        <w:t xml:space="preserve">.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w:t>
      </w:r>
      <w:r>
        <w:rPr>
          <w:rFonts w:ascii="Times New Roman" w:hAnsi="Times New Roman"/>
          <w:color w:val="000000"/>
          <w:sz w:val="20"/>
          <w:u w:val="single"/>
        </w:rPr>
        <w:t>provided further</w:t>
      </w:r>
      <w:r>
        <w:rPr>
          <w:rFonts w:ascii="Times New Roman" w:hAnsi="Times New Roman"/>
          <w:color w:val="000000"/>
          <w:sz w:val="20"/>
        </w:rPr>
        <w:t xml:space="preserve"> that no such advancement of expenses shall be made under this Article EIGHTH if it is determined (in the manner described in Section 6)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Indemnitee to make such repayment.</w:t>
      </w:r>
    </w:p>
    <w:p>
      <w:pPr>
        <w:pStyle w:val="TextBody"/>
        <w:bidi w:val="0"/>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Procedure for Indemnification and Advancement of Expenses</w:t>
      </w:r>
      <w:r>
        <w:rPr>
          <w:rFonts w:ascii="Times New Roman" w:hAnsi="Times New Roman"/>
          <w:color w:val="000000"/>
          <w:sz w:val="20"/>
        </w:rPr>
        <w:t>. In order to obtain indemnification or advancement of expenses pursuant to Section 1, 2, 3 or 5 of this Article EIGHTH, an Indemnitee shall submit to the Corporation a written request. Any such advancement of expenses shall be made promptly, and in any event within 60 days after receipt 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of this Article EIGHTH only as authorized in the specific case upon a determination by the Corporation that the indemnification of Indemnitee is proper because Indemnitee has met the applicable standard of conduct set forth in Section 1 or 2 of this Article EIGHTH,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Remedies</w:t>
      </w:r>
      <w:r>
        <w:rPr>
          <w:rFonts w:ascii="Times New Roman" w:hAnsi="Times New Roman"/>
          <w:color w:val="000000"/>
          <w:sz w:val="20"/>
        </w:rPr>
        <w:t>. Subject to Article TWELFTH,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 any suit brought by Indemnitee to enforce a right to indemnification or advancement of expenses, or brought by the Corporation to recover an advancement of expenses pursuant to the terms of an undertaking, the Corporation shall have the burden of proving that Indemnitee is not entitled to be indemnified, or to such advancement of expenses, under this Article EIGHTH. Indemnitee’s expenses (including attorneys’ fees) reasonably incurred in connection with successfully establishing Indemnitee’s right to indemnification or advancement of expenses, in whole or in part, in any such proceeding shall also be indemnified by the Corporation to the fullest extent permitted by applicable law. Notwithstanding the foregoing, in any suit brought by Indemnitee to enforce a right to indemnification or advancement of expenses hereunder it shall be a defense that the Indemnitee has not met any applicable standard for indemnification set forth in the General Corporation Law of the State of Delaware.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Limitations</w:t>
      </w:r>
      <w:r>
        <w:rPr>
          <w:rFonts w:ascii="Times New Roman" w:hAnsi="Times New Roman"/>
          <w:color w:val="000000"/>
          <w:sz w:val="20"/>
        </w:rPr>
        <w:t>.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 Article EIGHTH, the Corporation shall not indemnify or advance expenses to an Indemnitee to the extent such Indemnitee is reimbursed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Subsequent Amendment</w:t>
      </w:r>
      <w:r>
        <w:rPr>
          <w:rFonts w:ascii="Times New Roman" w:hAnsi="Times New Roman"/>
          <w:color w:val="000000"/>
          <w:sz w:val="20"/>
        </w:rPr>
        <w:t>. No amendment, termination or repeal of this Article EIGHTH or of the relevant provisions of the General Corporation Law of the State of Delaware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Other Rights</w:t>
      </w:r>
      <w:r>
        <w:rPr>
          <w:rFonts w:ascii="Times New Roman" w:hAnsi="Times New Roman"/>
          <w:color w:val="000000"/>
          <w:sz w:val="20"/>
        </w:rPr>
        <w:t>.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expense advancement rights and procedures different from those set forth in this Article EIGHTH. In addition, the Corporation may, to the extent authorized from time to time by its Board of Directors, grant indemnification and expense advancement rights to other employees or agents of the Corporation or other persons serving the Corporation and such rights may be equivalent to, or greater or less than, those set forth in this Article EIGHTH.</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Partial Indemnification</w:t>
      </w:r>
      <w:r>
        <w:rPr>
          <w:rFonts w:ascii="Times New Roman" w:hAnsi="Times New Roman"/>
          <w:color w:val="000000"/>
          <w:sz w:val="20"/>
        </w:rPr>
        <w:t>.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Insurance</w:t>
      </w:r>
      <w:r>
        <w:rPr>
          <w:rFonts w:ascii="Times New Roman" w:hAnsi="Times New Roman"/>
          <w:color w:val="000000"/>
          <w:sz w:val="20"/>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p>
    <w:p>
      <w:pPr>
        <w:pStyle w:val="TextBody"/>
        <w:bidi w:val="0"/>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Savings Clause</w:t>
      </w:r>
      <w:r>
        <w:rPr>
          <w:rFonts w:ascii="Times New Roman" w:hAnsi="Times New Roman"/>
          <w:color w:val="000000"/>
          <w:sz w:val="20"/>
        </w:rPr>
        <w:t>.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Definitions</w:t>
      </w:r>
      <w:r>
        <w:rPr>
          <w:rFonts w:ascii="Times New Roman" w:hAnsi="Times New Roman"/>
          <w:color w:val="000000"/>
          <w:sz w:val="20"/>
        </w:rPr>
        <w:t>. Terms used herein and defined in Section 145(h) and Section 145(i) of the General Corporation Law of the State of Delaware shall have the respective meanings assigned to such terms in such Section 145(h) and Section 145(i).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NINTH: This Article NINTH is inserted for the management of the business and for the conduct of the affairs of the Corporation.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General Powers</w:t>
      </w:r>
      <w:r>
        <w:rPr>
          <w:rFonts w:ascii="Times New Roman" w:hAnsi="Times New Roman"/>
          <w:color w:val="000000"/>
          <w:sz w:val="20"/>
        </w:rPr>
        <w:t>. The business and affairs of the Corporation shall be managed by or under the direction of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Number of Directors; Election of Directors</w:t>
      </w:r>
      <w:r>
        <w:rPr>
          <w:rFonts w:ascii="Times New Roman" w:hAnsi="Times New Roman"/>
          <w:color w:val="000000"/>
          <w:sz w:val="20"/>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Classes of Directors</w:t>
      </w:r>
      <w:r>
        <w:rPr>
          <w:rFonts w:ascii="Times New Roman" w:hAnsi="Times New Roman"/>
          <w:color w:val="000000"/>
          <w:sz w:val="20"/>
        </w:rPr>
        <w:t>.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Terms of Office</w:t>
      </w:r>
      <w:r>
        <w:rPr>
          <w:rFonts w:ascii="Times New Roman" w:hAnsi="Times New Roman"/>
          <w:color w:val="000000"/>
          <w:sz w:val="20"/>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Times New Roman" w:hAnsi="Times New Roman"/>
          <w:color w:val="000000"/>
          <w:sz w:val="20"/>
          <w:u w:val="single"/>
        </w:rPr>
        <w:t>provided</w:t>
      </w:r>
      <w:r>
        <w:rPr>
          <w:rFonts w:ascii="Times New Roman" w:hAnsi="Times New Roman"/>
          <w:color w:val="000000"/>
          <w:sz w:val="20"/>
        </w:rPr>
        <w:t xml:space="preserve"> 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w:t>
      </w:r>
      <w:r>
        <w:rPr>
          <w:rFonts w:ascii="Times New Roman" w:hAnsi="Times New Roman"/>
          <w:color w:val="000000"/>
          <w:sz w:val="20"/>
          <w:u w:val="single"/>
        </w:rPr>
        <w:t>provided further</w:t>
      </w:r>
      <w:r>
        <w:rPr>
          <w:rFonts w:ascii="Times New Roman" w:hAnsi="Times New Roman"/>
          <w:color w:val="000000"/>
          <w:sz w:val="20"/>
        </w:rPr>
        <w:t>, that the term of each director shall continue until the election and qualification of his or her successor and be subject to his or her earlier death, resignation or removal.</w:t>
      </w:r>
    </w:p>
    <w:p>
      <w:pPr>
        <w:pStyle w:val="TextBody"/>
        <w:bidi w:val="0"/>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Quorum</w:t>
      </w:r>
      <w:r>
        <w:rPr>
          <w:rFonts w:ascii="Times New Roman" w:hAnsi="Times New Roman"/>
          <w:color w:val="000000"/>
          <w:sz w:val="20"/>
        </w:rPr>
        <w:t>.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Action at Meeting</w:t>
      </w:r>
      <w:r>
        <w:rPr>
          <w:rFonts w:ascii="Times New Roman" w:hAnsi="Times New Roman"/>
          <w:color w:val="000000"/>
          <w:sz w:val="20"/>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Removal</w:t>
      </w:r>
      <w:r>
        <w:rPr>
          <w:rFonts w:ascii="Times New Roman" w:hAnsi="Times New Roman"/>
          <w:color w:val="000000"/>
          <w:sz w:val="20"/>
        </w:rPr>
        <w:t>. Subject to the rights of holders of any series of Preferred Stock, directors of the Corporation may be removed only for cause and only by the affirmative vote of the holders of at least seventy-five percent (75%) of the votes that all the stockholders would be entitled to cast in an election of directors or class of directors.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Vacancies</w:t>
      </w:r>
      <w:r>
        <w:rPr>
          <w:rFonts w:ascii="Times New Roman" w:hAnsi="Times New Roman"/>
          <w:color w:val="000000"/>
          <w:sz w:val="20"/>
        </w:rPr>
        <w:t>. Subject to the rights of holders of any series of Preferred Stock, any vacancies or newly-created directorships on the Board of Directors, however occurring, shall be filled only by vote of a majority of the directors then in office, although less than a quorum, or by a sole remaining director and shall not be filled by the stockholders. A director elected to fill a vacancy or to fill a position resulting from a newly-created directorship shall hold office until the next election of the class for which such director shall have been chosen, subject to the election and qualification of a successor and to such director’s earlier death, resignation or removal.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Stockholder Nominations and Introduction of Business, Etc</w:t>
      </w:r>
      <w:r>
        <w:rPr>
          <w:rFonts w:ascii="Times New Roman" w:hAnsi="Times New Roman"/>
          <w:color w:val="000000"/>
          <w:sz w:val="20"/>
        </w:rPr>
        <w:t>. Advance notice of stockholder nominations for election of directors and other business to be brought by stockholders before a meeting of stockholders shall be given in the manner provided by the Bylaws of the Corporation.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Amendments to Article</w:t>
      </w:r>
      <w:r>
        <w:rPr>
          <w:rFonts w:ascii="Times New Roman" w:hAnsi="Times New Roman"/>
          <w:color w:val="000000"/>
          <w:sz w:val="20"/>
        </w:rPr>
        <w:t>.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NINTH.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TENTH.</w:t>
      </w:r>
    </w:p>
    <w:p>
      <w:pPr>
        <w:pStyle w:val="TextBody"/>
        <w:bidi w:val="0"/>
        <w:jc w:val="left"/>
        <w:rPr>
          <w:rFonts w:ascii="Times New Roman" w:hAnsi="Times New Roman"/>
          <w:color w:val="000000"/>
          <w:sz w:val="20"/>
        </w:rPr>
      </w:pPr>
      <w:r>
        <w:rPr>
          <w:rFonts w:ascii="Times New Roman" w:hAnsi="Times New Roman"/>
          <w:color w:val="000000"/>
          <w:sz w:val="20"/>
        </w:rPr>
        <w:t>ELEVENTH: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ELEVENTH.</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TWELFTH: 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this Certificate of Incorporation or the Bylaws of the Corporation (in each case, as they may be amended from time to time) or governed by the internal affairs doctrine; </w:t>
      </w:r>
      <w:r>
        <w:rPr>
          <w:rFonts w:ascii="Times New Roman" w:hAnsi="Times New Roman"/>
          <w:color w:val="000000"/>
          <w:sz w:val="20"/>
          <w:u w:val="single"/>
        </w:rPr>
        <w:t>provided</w:t>
      </w:r>
      <w:r>
        <w:rPr>
          <w:rFonts w:ascii="Times New Roman" w:hAnsi="Times New Roman"/>
          <w:color w:val="000000"/>
          <w:sz w:val="20"/>
        </w:rPr>
        <w:t xml:space="preserve"> that this sentence shall not apply to suits brought to enforce any duty or liability created by the Securities Act of 1933 or the rules and regulations thereunder, the Securities Exchange Act of 1934 or the rules and regulations thereunder or any other claim for which the federal courts have exclusive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shares of capital stock of the Corporation shall be deemed to have notice of and consented to the provisions of this Article TWELFTH.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16th day of March, 2020.</w:t>
      </w:r>
    </w:p>
    <w:tbl>
      <w:tblPr>
        <w:tblW w:w="1229" w:type="dxa"/>
        <w:jc w:val="left"/>
        <w:tblInd w:w="0" w:type="dxa"/>
        <w:tblLayout w:type="fixed"/>
        <w:tblCellMar>
          <w:top w:w="28" w:type="dxa"/>
          <w:left w:w="28" w:type="dxa"/>
          <w:bottom w:w="28" w:type="dxa"/>
          <w:right w:w="28" w:type="dxa"/>
        </w:tblCellMar>
      </w:tblPr>
      <w:tblGrid>
        <w:gridCol w:w="397"/>
        <w:gridCol w:w="359"/>
        <w:gridCol w:w="473"/>
      </w:tblGrid>
      <w:tr>
        <w:trPr/>
        <w:tc>
          <w:tcPr>
            <w:tcW w:w="3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97" w:type="dxa"/>
            <w:tcBorders/>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IMARA INC.</w:t>
            </w:r>
          </w:p>
        </w:tc>
      </w:tr>
    </w:tbl>
    <w:p>
      <w:pPr>
        <w:pStyle w:val="TextBody"/>
        <w:bidi w:val="0"/>
        <w:jc w:val="right"/>
        <w:rPr/>
      </w:pPr>
      <w:r>
        <w:rPr/>
        <w:t> </w:t>
      </w:r>
    </w:p>
    <w:tbl>
      <w:tblPr>
        <w:tblW w:w="4273" w:type="dxa"/>
        <w:jc w:val="left"/>
        <w:tblInd w:w="0" w:type="dxa"/>
        <w:tblLayout w:type="fixed"/>
        <w:tblCellMar>
          <w:top w:w="28" w:type="dxa"/>
          <w:left w:w="28" w:type="dxa"/>
          <w:bottom w:w="28" w:type="dxa"/>
          <w:right w:w="28" w:type="dxa"/>
        </w:tblCellMar>
      </w:tblPr>
      <w:tblGrid>
        <w:gridCol w:w="421"/>
        <w:gridCol w:w="146"/>
        <w:gridCol w:w="370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Rahul D. Ballal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Rahul D. Ballal,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bl>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CERTIFICATE OF AMENDMENT</w:t>
      </w:r>
    </w:p>
    <w:p>
      <w:pPr>
        <w:pStyle w:val="TextBody"/>
        <w:bidi w:val="0"/>
        <w:jc w:val="center"/>
        <w:rPr>
          <w:rFonts w:ascii="Times New Roman" w:hAnsi="Times New Roman"/>
          <w:color w:val="000000"/>
          <w:sz w:val="20"/>
        </w:rPr>
      </w:pPr>
      <w:r>
        <w:rPr>
          <w:rFonts w:ascii="Times New Roman" w:hAnsi="Times New Roman"/>
          <w:color w:val="000000"/>
          <w:sz w:val="20"/>
        </w:rPr>
        <w:t>OF</w:t>
      </w:r>
    </w:p>
    <w:p>
      <w:pPr>
        <w:pStyle w:val="TextBody"/>
        <w:bidi w:val="0"/>
        <w:jc w:val="center"/>
        <w:rPr>
          <w:rFonts w:ascii="Times New Roman" w:hAnsi="Times New Roman"/>
          <w:color w:val="000000"/>
          <w:sz w:val="20"/>
        </w:rPr>
      </w:pPr>
      <w:r>
        <w:rPr>
          <w:rFonts w:ascii="Times New Roman" w:hAnsi="Times New Roman"/>
          <w:color w:val="000000"/>
          <w:sz w:val="20"/>
        </w:rPr>
        <w:t>RESTATED CERTIFICATE OF INCORPORATION</w:t>
      </w:r>
    </w:p>
    <w:p>
      <w:pPr>
        <w:pStyle w:val="TextBody"/>
        <w:bidi w:val="0"/>
        <w:jc w:val="center"/>
        <w:rPr>
          <w:rFonts w:ascii="Times New Roman" w:hAnsi="Times New Roman"/>
          <w:color w:val="000000"/>
          <w:sz w:val="20"/>
        </w:rPr>
      </w:pPr>
      <w:r>
        <w:rPr>
          <w:rFonts w:ascii="Times New Roman" w:hAnsi="Times New Roman"/>
          <w:color w:val="000000"/>
          <w:sz w:val="20"/>
        </w:rPr>
        <w:t>OF</w:t>
      </w:r>
    </w:p>
    <w:p>
      <w:pPr>
        <w:pStyle w:val="TextBody"/>
        <w:bidi w:val="0"/>
        <w:jc w:val="center"/>
        <w:rPr>
          <w:rFonts w:ascii="Times New Roman" w:hAnsi="Times New Roman"/>
          <w:color w:val="000000"/>
          <w:sz w:val="20"/>
        </w:rPr>
      </w:pPr>
      <w:r>
        <w:rPr>
          <w:rFonts w:ascii="Times New Roman" w:hAnsi="Times New Roman"/>
          <w:color w:val="000000"/>
          <w:sz w:val="20"/>
        </w:rPr>
        <w:t>IMARA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Imara Inc. (the “Corporation”), a corporation organized and existing under and by virtue of the provisions of the General Corporation Law of the State of Delaware (the “General Corporation Law”), does hereby certify as follows:</w:t>
      </w:r>
    </w:p>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name of the Corporation is Imara Inc.</w:t>
            </w:r>
          </w:p>
        </w:tc>
      </w:tr>
    </w:tbl>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83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FOURTH of the Restated Certificate of the Corporation is hereby amended by replacing the first paragraph thereof with the following:</w:t>
            </w:r>
          </w:p>
        </w:tc>
      </w:tr>
    </w:tbl>
    <w:p>
      <w:pPr>
        <w:pStyle w:val="TextBody"/>
        <w:bidi w:val="0"/>
        <w:spacing w:before="240" w:after="283"/>
        <w:jc w:val="left"/>
        <w:rPr>
          <w:color w:val="000000"/>
        </w:rPr>
      </w:pPr>
      <w:r>
        <w:rPr>
          <w:color w:val="000000"/>
        </w:rPr>
        <w:t>“</w:t>
      </w:r>
      <w:r>
        <w:rPr>
          <w:rFonts w:ascii="Times New Roman" w:hAnsi="Times New Roman"/>
          <w:color w:val="000000"/>
          <w:sz w:val="20"/>
        </w:rPr>
        <w:t>FOURTH: Effective upon the effectiveness of this Certificate of Amendment of the Restated Certificate of Incorporation with the Secretary of State of the State of Delaware (the “Effective Time”), each four shares of the Corporation’s common stock, par value $0.001 per share (the “Common Stock”), issued and outstanding or held by the Corporation in treasury immediately prior to the Effective Time shall be reclassified and combined into one validly issued, fully paid and nonassessable share of outstanding Common Stock or treasury share, as applicable, automatically and without any action by the holder thereof upon the Effective Time and shall represent one share of Common Stock from and after the Effective Time (such reclassification and combination of shares, the “Reverse Stock Split”). The par value of the Common Stock following the Reverse Stock Split shall remain at $0.001 par value per share. No fractional shares of Common Stock shall be issued as a result of the Reverse Stock Split and, in lieu thereof, upon surrender after the Effective Time of a certificate or a book-entry position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(without interest) equal to the fraction of a share of Common Stock to which such holder would otherwise be entitled multiplied by the average (after taking into account the exact ratio of the Reverse Stock Split determined by the Board of Directors of the Corporation) of the high and low trading prices of the Common Stock on The Nasdaq Global Select Market during regular trading hours for the five trading days immediately preceding the Effective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stock certificate or book 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position have been reclassified (as well as the right to receive cash in lieu of fractional shares of Common Stock after the Effective Time); provided, however, that each person of record holding a certificate or book entry position that represented shares of Common Stock that were issued and outstanding immediately prior to the Effective Time shall receive, upon surrender of such certificate or book entry position, a new certificate or book entry position evidencing and representing the number of whole shares of Common Stock after the Effective Time into which the shares of Common Stock formerly represented by such certificate or book entry position shall have been reclassified.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all classes of stock which the Corporation shall have authority to issue is 110,000,000 shares, consisting of</w:t>
      </w:r>
    </w:p>
    <w:tbl>
      <w:tblPr>
        <w:tblW w:w="7821" w:type="dxa"/>
        <w:jc w:val="left"/>
        <w:tblInd w:w="0" w:type="dxa"/>
        <w:tblLayout w:type="fixed"/>
        <w:tblCellMar>
          <w:top w:w="28" w:type="dxa"/>
          <w:left w:w="28" w:type="dxa"/>
          <w:bottom w:w="28" w:type="dxa"/>
          <w:right w:w="28" w:type="dxa"/>
        </w:tblCellMar>
      </w:tblPr>
      <w:tblGrid>
        <w:gridCol w:w="124"/>
        <w:gridCol w:w="28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100,000,000 shares of Common Stock, $0.001 par value per share (“Common Stock”) and</w:t>
            </w:r>
          </w:p>
        </w:tc>
      </w:tr>
    </w:tbl>
    <w:tbl>
      <w:tblPr>
        <w:tblW w:w="7506" w:type="dxa"/>
        <w:jc w:val="left"/>
        <w:tblInd w:w="0" w:type="dxa"/>
        <w:tblLayout w:type="fixed"/>
        <w:tblCellMar>
          <w:top w:w="28" w:type="dxa"/>
          <w:left w:w="28" w:type="dxa"/>
          <w:bottom w:w="28" w:type="dxa"/>
          <w:right w:w="28" w:type="dxa"/>
        </w:tblCellMar>
      </w:tblPr>
      <w:tblGrid>
        <w:gridCol w:w="124"/>
        <w:gridCol w:w="34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10,000,000 shares of Preferred Stock, $0.001 par value per share (“Preferred Stock”).”</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Certificate of Amendment has been duly adopted by the Board of Directors and stockholders of the Corporation in accordance with the provisions of Section 242 of the General Corporation Law.</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 WITNESS WHEREOF, the Corporation has caused its duly authorized officer to execute this Certificate of Amendment on this 23rd day of February, 2023.</w:t>
      </w:r>
    </w:p>
    <w:tbl>
      <w:tblPr>
        <w:tblW w:w="4003" w:type="dxa"/>
        <w:jc w:val="left"/>
        <w:tblInd w:w="0" w:type="dxa"/>
        <w:tblLayout w:type="fixed"/>
        <w:tblCellMar>
          <w:top w:w="28" w:type="dxa"/>
          <w:left w:w="28" w:type="dxa"/>
          <w:bottom w:w="28" w:type="dxa"/>
          <w:right w:w="28" w:type="dxa"/>
        </w:tblCellMar>
      </w:tblPr>
      <w:tblGrid>
        <w:gridCol w:w="646"/>
        <w:gridCol w:w="1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IMARA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Rahul D. Ballal</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Rahul D. Ballal</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240" w:after="283"/>
        <w:jc w:val="center"/>
        <w:rPr/>
      </w:pPr>
      <w:bookmarkStart w:id="35" w:name="d464771dex32_htm"/>
      <w:bookmarkEnd w:id="35"/>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CERTIFICATE OF AMENDMENT TO THE RESTATED</w:t>
      </w:r>
    </w:p>
    <w:p>
      <w:pPr>
        <w:pStyle w:val="TextBody"/>
        <w:bidi w:val="0"/>
        <w:jc w:val="center"/>
        <w:rPr>
          <w:rFonts w:ascii="Times New Roman" w:hAnsi="Times New Roman"/>
          <w:b/>
          <w:color w:val="000000"/>
          <w:sz w:val="20"/>
        </w:rPr>
      </w:pPr>
      <w:r>
        <w:rPr>
          <w:rFonts w:ascii="Times New Roman" w:hAnsi="Times New Roman"/>
          <w:b/>
          <w:color w:val="000000"/>
          <w:sz w:val="20"/>
        </w:rPr>
        <w:t>CERTIFICATE OF INCORPORATION OF IMARA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(Pursuant to Section 242 of the</w:t>
      </w:r>
    </w:p>
    <w:p>
      <w:pPr>
        <w:pStyle w:val="TextBody"/>
        <w:bidi w:val="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spacing w:before="240" w:after="283"/>
        <w:jc w:val="left"/>
        <w:rPr>
          <w:rFonts w:ascii="Times New Roman" w:hAnsi="Times New Roman"/>
          <w:sz w:val="20"/>
        </w:rPr>
      </w:pPr>
      <w:r>
        <w:rPr>
          <w:rFonts w:ascii="Times New Roman" w:hAnsi="Times New Roman"/>
          <w:color w:val="000000"/>
          <w:sz w:val="20"/>
        </w:rPr>
        <w:t>Imara Inc. (the “</w:t>
      </w:r>
      <w:r>
        <w:rPr>
          <w:rFonts w:ascii="Times New Roman" w:hAnsi="Times New Roman"/>
          <w:color w:val="000000"/>
          <w:sz w:val="20"/>
          <w:u w:val="single"/>
        </w:rPr>
        <w:t>Corporation</w:t>
      </w:r>
      <w:r>
        <w:rPr>
          <w:rFonts w:ascii="Times New Roman" w:hAnsi="Times New Roman"/>
          <w:color w:val="000000"/>
          <w:sz w:val="20"/>
        </w:rPr>
        <w:t>”), a corporation organized and existing under and by virtue of the provisions of the General Corporation Law of the State of Delaware (the “</w:t>
      </w:r>
      <w:r>
        <w:rPr>
          <w:rFonts w:ascii="Times New Roman" w:hAnsi="Times New Roman"/>
          <w:color w:val="000000"/>
          <w:sz w:val="20"/>
          <w:u w:val="single"/>
        </w:rPr>
        <w:t>General Corporation Law</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DOES HEREBY CERTIFY:</w:t>
      </w:r>
    </w:p>
    <w:tbl>
      <w:tblPr>
        <w:tblW w:w="10205" w:type="dxa"/>
        <w:jc w:val="left"/>
        <w:tblInd w:w="0" w:type="dxa"/>
        <w:tblLayout w:type="fixed"/>
        <w:tblCellMar>
          <w:top w:w="28" w:type="dxa"/>
          <w:left w:w="28" w:type="dxa"/>
          <w:bottom w:w="28" w:type="dxa"/>
          <w:right w:w="28"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5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resolution was duly adopted by the Board of Directors of the Corporation pursuant to Section 242 of the General Corporation Law proposing this Amendment of the Corporation’s Restated Certificate of Incorporation and declaring the advisability of this Amendment of the Restated Certificate of Incorporation, which resolution setting forth the proposed amendment is as follows: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RESOLVED, that Article I of the Restated Certificate of Incorporation of the Corporation, as amended, be and hereby is deleted in its entirety and the following is inserted in lieu thereof:</w:t>
      </w:r>
    </w:p>
    <w:p>
      <w:pPr>
        <w:pStyle w:val="TextBody"/>
        <w:bidi w:val="0"/>
        <w:spacing w:before="240" w:after="283"/>
        <w:jc w:val="left"/>
        <w:rPr>
          <w:color w:val="000000"/>
        </w:rPr>
      </w:pPr>
      <w:r>
        <w:rPr>
          <w:color w:val="000000"/>
        </w:rPr>
        <w:t>“</w:t>
      </w:r>
      <w:r>
        <w:rPr>
          <w:rFonts w:ascii="Times New Roman" w:hAnsi="Times New Roman"/>
          <w:color w:val="000000"/>
          <w:sz w:val="20"/>
        </w:rPr>
        <w:t>The name of the Corporation is Enliven Therapeutics, Inc.”</w:t>
      </w:r>
    </w:p>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Certificate of Amendment of the Restated Certificate of Incorporation shall be effective as of 5:02 p.m. Eastern Time as of February 23, 2023.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this Corporation has caused this Certificate of Amendment to the Restated Certificate of Incorporation to be signed by its President and Chief Executive Officer this 23rd day of February, 2023.</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Rahul D. Ballal, Ph.D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Rahul D. Ballal, Ph.D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1" w:after="283"/>
        <w:jc w:val="center"/>
        <w:rPr>
          <w:rFonts w:ascii="Times New Roman" w:hAnsi="Times New Roman"/>
          <w:b/>
          <w:caps/>
          <w:color w:val="231F20"/>
          <w:sz w:val="22"/>
        </w:rPr>
      </w:pPr>
      <w:r>
        <w:rPr>
          <w:rFonts w:ascii="Times New Roman" w:hAnsi="Times New Roman"/>
          <w:b/>
          <w:caps/>
          <w:color w:val="231F20"/>
          <w:sz w:val="22"/>
        </w:rPr>
        <w:t>Certificate of Amendment to the Restated Certificate of Incorporation of Enliven Therapeutics, Inc.</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231F20"/>
          <w:sz w:val="22"/>
        </w:rPr>
        <w:t>(Pursuant to Section 242 of the</w:t>
      </w:r>
      <w:r>
        <w:rPr>
          <w:rFonts w:ascii="Times New Roman" w:hAnsi="Times New Roman"/>
          <w:color w:val="231F20"/>
          <w:sz w:val="20"/>
        </w:rPr>
        <w:t xml:space="preserve"> </w:t>
      </w:r>
    </w:p>
    <w:p>
      <w:pPr>
        <w:pStyle w:val="TextBody"/>
        <w:bidi w:val="0"/>
        <w:jc w:val="center"/>
        <w:rPr>
          <w:rFonts w:ascii="Times New Roman" w:hAnsi="Times New Roman"/>
          <w:color w:val="231F20"/>
          <w:sz w:val="22"/>
        </w:rPr>
      </w:pPr>
      <w:r>
        <w:rPr>
          <w:rFonts w:ascii="Times New Roman" w:hAnsi="Times New Roman"/>
          <w:color w:val="231F20"/>
          <w:sz w:val="22"/>
        </w:rPr>
        <w:t>General Corporation Law of the State of Delaware)</w:t>
      </w:r>
    </w:p>
    <w:p>
      <w:pPr>
        <w:pStyle w:val="TextBody"/>
        <w:bidi w:val="0"/>
        <w:spacing w:before="131" w:after="283"/>
        <w:jc w:val="left"/>
        <w:rPr>
          <w:rFonts w:ascii="Times New Roman" w:hAnsi="Times New Roman"/>
          <w:color w:val="231F20"/>
          <w:sz w:val="22"/>
        </w:rPr>
      </w:pPr>
      <w:r>
        <w:rPr>
          <w:rFonts w:ascii="Times New Roman" w:hAnsi="Times New Roman"/>
          <w:color w:val="231F20"/>
          <w:sz w:val="22"/>
        </w:rPr>
        <w:t>Enliven Therapeutics, Inc., a corporation organized and existing under the laws of the State of Delaware (the “Corporation”), DOES HEREBY CERTIFY:</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 xml:space="preserve">The name of the Corporation is Enliven Therapeutics, Inc. The Corporation’s original Certificate of Incorporation was filed with the Secretary of State of the State of Delaware on January 26, 2016 under the name IMARA Inc.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 xml:space="preserve">This Certificate of Amendment to the Restated Certificate of Incorporation of the Corporation has been duly adopted in accordance with the applicable provisions of Section 242 of the Delaware General Corporation Law of the State of Delaware, by the Board of Directors and the stockholders of the Corporation.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Article SEVENTH of the Corporation’s certificate of incorporation is hereby amended and restated in its entirety to read as follows:</w:t>
      </w:r>
    </w:p>
    <w:p>
      <w:pPr>
        <w:pStyle w:val="TextBody"/>
        <w:bidi w:val="0"/>
        <w:jc w:val="left"/>
        <w:rPr/>
      </w:pPr>
      <w:r>
        <w:rPr/>
        <w:t> </w:t>
      </w:r>
    </w:p>
    <w:p>
      <w:pPr>
        <w:pStyle w:val="TextBody"/>
        <w:bidi w:val="0"/>
        <w:jc w:val="left"/>
        <w:rPr/>
      </w:pPr>
      <w:r>
        <w:rPr/>
        <w:t> </w:t>
      </w:r>
    </w:p>
    <w:p>
      <w:pPr>
        <w:pStyle w:val="TextBody"/>
        <w:bidi w:val="0"/>
        <w:spacing w:before="131" w:after="283"/>
        <w:jc w:val="left"/>
        <w:rPr/>
      </w:pPr>
      <w:r>
        <w:rPr>
          <w:color w:val="231F20"/>
        </w:rPr>
        <w:t>“</w:t>
      </w:r>
      <w:r>
        <w:rPr>
          <w:rFonts w:ascii="Times New Roman" w:hAnsi="Times New Roman"/>
          <w:color w:val="231F20"/>
          <w:sz w:val="22"/>
        </w:rPr>
        <w:t>SEVENTH: Except to the extent that the General Corporation Law of the State of Delaware prohibits the elimination or limitation of liability of directors or officers for breaches of fiduciary duty, no director or officer of the Corporation shall be personally liable to the Corporation or its stockholders for monetary damages for any breach of fiduciary duty as a director or officer, notwithstanding any provision of law imposing such liability. No amendment to or repeal of this provision shall apply to or have any effect on the liability or alleged liability of any director or officer of the Corporation for or with respect to any acts or omissions of such director or officer occurring prior to such amendment or repeal. If the General Corporation Law of the State of Delaware is amended to permit further elimination or limitation of the personal liability of directors or officers, then the liability of a director or officer of the Corporation shall be eliminated or limited to the fullest extent permitted by the General Corporation Law of the State of Delaware as so amended.”</w:t>
      </w:r>
      <w:r>
        <w:rPr>
          <w:rFonts w:ascii="Times New Roman" w:hAnsi="Times New Roman"/>
          <w:color w:val="231F2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IN WITNESS WHEREOF, the Corporation has caused this Certificate of Amendment to be signed by a duly authorized officer of the Corporation on June 18,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Samuel Kintz </w:t>
      </w:r>
    </w:p>
    <w:p>
      <w:pPr>
        <w:pStyle w:val="TextBody"/>
        <w:bidi w:val="0"/>
        <w:jc w:val="left"/>
        <w:rPr>
          <w:rFonts w:ascii="Times New Roman" w:hAnsi="Times New Roman"/>
          <w:color w:val="000000"/>
          <w:sz w:val="22"/>
        </w:rPr>
      </w:pPr>
      <w:r>
        <w:rPr>
          <w:rFonts w:ascii="Times New Roman" w:hAnsi="Times New Roman"/>
          <w:color w:val="000000"/>
          <w:sz w:val="22"/>
        </w:rPr>
        <w:t>Samuel Kintz, President and 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1" w:after="283"/>
        <w:jc w:val="center"/>
        <w:rPr>
          <w:rFonts w:ascii="Times New Roman" w:hAnsi="Times New Roman"/>
          <w:b/>
          <w:caps/>
          <w:color w:val="000000"/>
          <w:sz w:val="22"/>
        </w:rPr>
      </w:pPr>
      <w:r>
        <w:rPr>
          <w:rFonts w:ascii="Times New Roman" w:hAnsi="Times New Roman"/>
          <w:b/>
          <w:caps/>
          <w:color w:val="000000"/>
          <w:sz w:val="22"/>
        </w:rPr>
        <w:t>Certificate of Amendment to the Restated Certificate of Incorporation of Enliven Therapeutics, Inc.</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(Pursuant to Section 242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General Corporation Law of the State of Delaware)</w:t>
      </w:r>
    </w:p>
    <w:p>
      <w:pPr>
        <w:pStyle w:val="TextBody"/>
        <w:bidi w:val="0"/>
        <w:spacing w:before="131" w:after="283"/>
        <w:jc w:val="left"/>
        <w:rPr>
          <w:rFonts w:ascii="Times New Roman" w:hAnsi="Times New Roman"/>
          <w:color w:val="000000"/>
          <w:sz w:val="22"/>
        </w:rPr>
      </w:pPr>
      <w:r>
        <w:rPr>
          <w:rFonts w:ascii="Times New Roman" w:hAnsi="Times New Roman"/>
          <w:color w:val="000000"/>
          <w:sz w:val="22"/>
        </w:rPr>
        <w:t>Enliven Therapeutics, Inc., a corporation organized and existing under the laws of the State of Delaware (the “Corporation”), DOES HEREBY CERTIFY:</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 xml:space="preserve">The name of the Corporation is Enliven Therapeutics, Inc. The Corporation’s original Certificate of Incorporation was filed with the Secretary of State of the State of Delaware on January 26, 2016 under the name IMARA Inc.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 xml:space="preserve">This Certificate of Amendment to the Restated Certificate of Incorporation of the Corporation has been duly adopted in accordance with the applicable provisions of Section 242 of the Delaware General Corporation Law of the State of Delaware, by the Board of Directors and the stockholders of the Corporation.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The first three paragraphs of Article FOURTH of the Corporation’s certificate of incorporation are hereby amended and restated in their entirety to read as follows:</w:t>
      </w:r>
    </w:p>
    <w:p>
      <w:pPr>
        <w:pStyle w:val="TextBody"/>
        <w:bidi w:val="0"/>
        <w:jc w:val="left"/>
        <w:rPr/>
      </w:pPr>
      <w:r>
        <w:rPr/>
        <w:t>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FOURTH: The total number of shares of all classes of stock which the Corporation shall have authority to issue is 210,000,000 shares, consisting of</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200,000,000 shares of Common Stock, $0.001 par value per share (“Common Stock”) and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(ii)</w:t>
      </w:r>
    </w:p>
    <w:p>
      <w:pPr>
        <w:pStyle w:val="TextBody"/>
        <w:bidi w:val="0"/>
        <w:jc w:val="left"/>
        <w:rPr>
          <w:rFonts w:ascii="Times New Roman" w:hAnsi="Times New Roman"/>
          <w:color w:val="000000"/>
          <w:sz w:val="22"/>
        </w:rPr>
      </w:pPr>
      <w:r>
        <w:rPr>
          <w:rFonts w:ascii="Times New Roman" w:hAnsi="Times New Roman"/>
          <w:color w:val="000000"/>
          <w:sz w:val="22"/>
        </w:rPr>
        <w:t>10,000,000 shares of Preferred Stock, $0.001 par value per share (“Preferred Stock”).”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IN WITNESS WHEREOF, the Corporation has caused this Certificate of Amendment to be signed by a duly authorized officer of the Corporation on June 9,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Richard Fair </w:t>
      </w:r>
    </w:p>
    <w:p>
      <w:pPr>
        <w:pStyle w:val="TextBody"/>
        <w:bidi w:val="0"/>
        <w:jc w:val="left"/>
        <w:rPr>
          <w:rFonts w:ascii="Times New Roman" w:hAnsi="Times New Roman"/>
          <w:color w:val="000000"/>
          <w:sz w:val="22"/>
        </w:rPr>
      </w:pPr>
      <w:r>
        <w:rPr>
          <w:rFonts w:ascii="Times New Roman" w:hAnsi="Times New Roman"/>
          <w:color w:val="000000"/>
          <w:sz w:val="22"/>
        </w:rPr>
        <w:t>Richard Fair, President and Chief Executive Officer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36" w:name="elvn-ex31_1.htm"/>
      <w:bookmarkStart w:id="37" w:name="kselvnex31_1"/>
      <w:bookmarkEnd w:id="36"/>
      <w:bookmarkEnd w:id="37"/>
      <w:r>
        <w:rPr>
          <w:rFonts w:ascii="sans-serif" w:hAnsi="sans-serif"/>
          <w:b/>
          <w:color w:val="000000"/>
          <w:sz w:val="20"/>
        </w:rPr>
        <w:t>Exhibit 31.1</w:t>
      </w:r>
      <w:r>
        <w:br w:type="page"/>
      </w:r>
    </w:p>
    <w:p>
      <w:pPr>
        <w:pStyle w:val="TextBody"/>
        <w:bidi w:val="0"/>
        <w:spacing w:before="360" w:after="283"/>
        <w:jc w:val="center"/>
        <w:rPr>
          <w:rFonts w:ascii="sans-serif" w:hAnsi="sans-serif"/>
          <w:b/>
          <w:color w:val="000000"/>
          <w:sz w:val="20"/>
        </w:rPr>
      </w:pPr>
      <w:r>
        <w:rPr>
          <w:rFonts w:ascii="sans-serif" w:hAnsi="sans-serif"/>
          <w:b/>
          <w:color w:val="000000"/>
          <w:sz w:val="20"/>
        </w:rPr>
        <w:t>CERTIFICATION PURSUANT TO</w:t>
      </w:r>
    </w:p>
    <w:p>
      <w:pPr>
        <w:pStyle w:val="TextBody"/>
        <w:bidi w:val="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jc w:val="center"/>
        <w:rPr>
          <w:rFonts w:ascii="sans-serif" w:hAnsi="sans-serif"/>
          <w:b/>
          <w:color w:val="000000"/>
          <w:sz w:val="20"/>
        </w:rPr>
      </w:pPr>
      <w:r>
        <w:rPr>
          <w:rFonts w:ascii="sans-serif" w:hAnsi="sans-serif"/>
          <w:b/>
          <w:color w:val="000000"/>
          <w:sz w:val="20"/>
        </w:rPr>
        <w:t>AS ADOPTED PURSUANT TO SECTION 302 OF THE SARBANES-OXLEY ACT OF 2002</w:t>
      </w:r>
    </w:p>
    <w:p>
      <w:pPr>
        <w:pStyle w:val="TextBody"/>
        <w:bidi w:val="0"/>
        <w:spacing w:before="240" w:after="283"/>
        <w:jc w:val="left"/>
        <w:rPr>
          <w:rFonts w:ascii="sans-serif" w:hAnsi="sans-serif"/>
          <w:color w:val="000000"/>
          <w:sz w:val="20"/>
        </w:rPr>
      </w:pPr>
      <w:r>
        <w:rPr>
          <w:rFonts w:ascii="sans-serif" w:hAnsi="sans-serif"/>
          <w:color w:val="000000"/>
          <w:sz w:val="20"/>
        </w:rPr>
        <w:t>I, Richard Fair,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sans-serif" w:hAnsi="sans-serif"/>
          <w:color w:val="000000"/>
          <w:sz w:val="20"/>
        </w:rPr>
      </w:pPr>
      <w:r>
        <w:rPr>
          <w:rFonts w:ascii="sans-serif" w:hAnsi="sans-serif"/>
          <w:color w:val="000000"/>
          <w:sz w:val="20"/>
        </w:rPr>
        <w:t>I have reviewed this Quarterly Report on Form 10-Q of Enliven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sans-serif" w:hAnsi="sans-serif"/>
          <w:color w:val="000000"/>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sans-serif" w:hAnsi="sans-serif"/>
          <w:color w:val="000000"/>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sans-serif" w:hAnsi="sans-serif"/>
          <w:color w:val="000000"/>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sans-serif" w:hAnsi="sans-serif"/>
          <w:color w:val="000000"/>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sans-serif" w:hAnsi="sans-serif"/>
          <w:color w:val="000000"/>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sans-serif" w:hAnsi="sans-serif"/>
          <w:color w:val="000000"/>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37" w:type="dxa"/>
        <w:jc w:val="left"/>
        <w:tblInd w:w="0" w:type="dxa"/>
        <w:tblLayout w:type="fixed"/>
        <w:tblCellMar>
          <w:top w:w="28" w:type="dxa"/>
          <w:left w:w="28" w:type="dxa"/>
          <w:bottom w:w="28" w:type="dxa"/>
          <w:right w:w="28" w:type="dxa"/>
        </w:tblCellMar>
      </w:tblPr>
      <w:tblGrid>
        <w:gridCol w:w="2161"/>
        <w:gridCol w:w="109"/>
        <w:gridCol w:w="421"/>
        <w:gridCol w:w="4246"/>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Richard Fair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Richard Fair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President and Chief Executive Officer</w:t>
            </w:r>
          </w:p>
          <w:p>
            <w:pPr>
              <w:pStyle w:val="TableContents"/>
              <w:bidi w:val="0"/>
              <w:spacing w:before="0" w:after="283"/>
              <w:jc w:val="center"/>
              <w:rPr>
                <w:rFonts w:ascii="sans-serif" w:hAnsi="sans-serif"/>
                <w:b/>
                <w:color w:val="000000"/>
                <w:sz w:val="20"/>
              </w:rPr>
            </w:pPr>
            <w:r>
              <w:rPr>
                <w:rFonts w:ascii="sans-serif" w:hAnsi="sans-serif"/>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38" w:name="elvn-ex31_2.htm"/>
      <w:bookmarkStart w:id="39" w:name="kselvnex31_2"/>
      <w:bookmarkEnd w:id="38"/>
      <w:bookmarkEnd w:id="39"/>
      <w:r>
        <w:rPr>
          <w:rFonts w:ascii="sans-serif" w:hAnsi="sans-serif"/>
          <w:b/>
          <w:color w:val="000000"/>
          <w:sz w:val="20"/>
        </w:rPr>
        <w:t>Exhibit 31.2</w:t>
      </w:r>
      <w:r>
        <w:br w:type="page"/>
      </w:r>
    </w:p>
    <w:p>
      <w:pPr>
        <w:pStyle w:val="TextBody"/>
        <w:bidi w:val="0"/>
        <w:spacing w:before="360" w:after="283"/>
        <w:jc w:val="center"/>
        <w:rPr>
          <w:rFonts w:ascii="sans-serif" w:hAnsi="sans-serif"/>
          <w:b/>
          <w:color w:val="000000"/>
          <w:sz w:val="20"/>
        </w:rPr>
      </w:pPr>
      <w:r>
        <w:rPr>
          <w:rFonts w:ascii="sans-serif" w:hAnsi="sans-serif"/>
          <w:b/>
          <w:color w:val="000000"/>
          <w:sz w:val="20"/>
        </w:rPr>
        <w:t>CERTIFICATION PURSUANT TO</w:t>
      </w:r>
    </w:p>
    <w:p>
      <w:pPr>
        <w:pStyle w:val="TextBody"/>
        <w:bidi w:val="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jc w:val="center"/>
        <w:rPr>
          <w:rFonts w:ascii="sans-serif" w:hAnsi="sans-serif"/>
          <w:b/>
          <w:color w:val="000000"/>
          <w:sz w:val="20"/>
        </w:rPr>
      </w:pPr>
      <w:r>
        <w:rPr>
          <w:rFonts w:ascii="sans-serif" w:hAnsi="sans-serif"/>
          <w:b/>
          <w:color w:val="000000"/>
          <w:sz w:val="20"/>
        </w:rPr>
        <w:t>AS ADOPTED PURSUANT TO SECTION 302 OF THE SARBANES-OXLEY ACT OF 2002</w:t>
      </w:r>
    </w:p>
    <w:p>
      <w:pPr>
        <w:pStyle w:val="TextBody"/>
        <w:bidi w:val="0"/>
        <w:spacing w:before="240" w:after="283"/>
        <w:jc w:val="left"/>
        <w:rPr>
          <w:rFonts w:ascii="sans-serif" w:hAnsi="sans-serif"/>
          <w:color w:val="000000"/>
          <w:sz w:val="20"/>
        </w:rPr>
      </w:pPr>
      <w:r>
        <w:rPr>
          <w:rFonts w:ascii="sans-serif" w:hAnsi="sans-serif"/>
          <w:color w:val="000000"/>
          <w:sz w:val="20"/>
        </w:rPr>
        <w:t>I, Benjamin Hohl,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sans-serif" w:hAnsi="sans-serif"/>
          <w:color w:val="000000"/>
          <w:sz w:val="20"/>
        </w:rPr>
      </w:pPr>
      <w:r>
        <w:rPr>
          <w:rFonts w:ascii="sans-serif" w:hAnsi="sans-serif"/>
          <w:color w:val="000000"/>
          <w:sz w:val="20"/>
        </w:rPr>
        <w:t>I have reviewed this Quarterly Report on Form 10-Q of Enliven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sans-serif" w:hAnsi="sans-serif"/>
          <w:color w:val="000000"/>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sans-serif" w:hAnsi="sans-serif"/>
          <w:color w:val="000000"/>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sans-serif" w:hAnsi="sans-serif"/>
          <w:color w:val="000000"/>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sans-serif" w:hAnsi="sans-serif"/>
          <w:color w:val="000000"/>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sans-serif" w:hAnsi="sans-serif"/>
          <w:color w:val="000000"/>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sans-serif" w:hAnsi="sans-serif"/>
          <w:color w:val="000000"/>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582" w:type="dxa"/>
        <w:jc w:val="left"/>
        <w:tblInd w:w="0" w:type="dxa"/>
        <w:tblLayout w:type="fixed"/>
        <w:tblCellMar>
          <w:top w:w="28" w:type="dxa"/>
          <w:left w:w="28" w:type="dxa"/>
          <w:bottom w:w="28" w:type="dxa"/>
          <w:right w:w="28" w:type="dxa"/>
        </w:tblCellMar>
      </w:tblPr>
      <w:tblGrid>
        <w:gridCol w:w="2161"/>
        <w:gridCol w:w="109"/>
        <w:gridCol w:w="421"/>
        <w:gridCol w:w="4891"/>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4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Benjamin Hohl</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Benjamin Hohl</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tcBorders/>
            <w:shd w:fill="FFFFFF" w:val="clear"/>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Chief Financial Officer</w:t>
            </w:r>
          </w:p>
          <w:p>
            <w:pPr>
              <w:pStyle w:val="TableContents"/>
              <w:bidi w:val="0"/>
              <w:spacing w:before="0" w:after="283"/>
              <w:jc w:val="center"/>
              <w:rPr>
                <w:rFonts w:ascii="sans-serif" w:hAnsi="sans-serif"/>
                <w:b/>
                <w:color w:val="000000"/>
                <w:sz w:val="20"/>
              </w:rPr>
            </w:pPr>
            <w:r>
              <w:rPr>
                <w:rFonts w:ascii="sans-serif" w:hAnsi="sans-serif"/>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elvn-ex32_1.htm"/>
      <w:bookmarkStart w:id="41" w:name="kselvnex32_1"/>
      <w:bookmarkEnd w:id="40"/>
      <w:bookmarkEnd w:id="41"/>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spacing w:before="360" w:after="283"/>
        <w:jc w:val="center"/>
        <w:rPr>
          <w:rFonts w:ascii="sans-serif" w:hAnsi="sans-serif"/>
          <w:b/>
          <w:color w:val="000000"/>
          <w:sz w:val="20"/>
        </w:rPr>
      </w:pPr>
      <w:r>
        <w:rPr>
          <w:rFonts w:ascii="sans-serif" w:hAnsi="sans-serif"/>
          <w:b/>
          <w:color w:val="000000"/>
          <w:sz w:val="20"/>
        </w:rPr>
        <w:t>CERTIFICATION PURSUANT TO</w:t>
      </w:r>
    </w:p>
    <w:p>
      <w:pPr>
        <w:pStyle w:val="TextBody"/>
        <w:bidi w:val="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240" w:after="283"/>
        <w:jc w:val="left"/>
        <w:rPr>
          <w:rFonts w:ascii="sans-serif" w:hAnsi="sans-serif"/>
          <w:color w:val="000000"/>
          <w:sz w:val="20"/>
        </w:rPr>
      </w:pPr>
      <w:r>
        <w:rPr>
          <w:rFonts w:ascii="sans-serif" w:hAnsi="sans-serif"/>
          <w:color w:val="000000"/>
          <w:sz w:val="20"/>
        </w:rPr>
        <w:t>In connection with the Quarterly Report on Form 10-Q of Enliven Therapeutics, Inc. (the “Company”) for the period ending June 30, 2026, as filed with the Securities and Exchange Commission on the date hereof (the “Report”), the undersigned, Richard Fair, President and Chief Executive Officer of the Company, hereby certifies, pursuant to 18 U.S.C. § 1350, as adopted pursuant to § 906 of the Sarbanes-Oxley Act of 2002, that to his knowledge:</w:t>
      </w:r>
    </w:p>
    <w:p>
      <w:pPr>
        <w:pStyle w:val="TextBody"/>
        <w:bidi w:val="0"/>
        <w:spacing w:before="240" w:after="283"/>
        <w:jc w:val="left"/>
        <w:rPr>
          <w:rFonts w:ascii="sans-serif" w:hAnsi="sans-serif"/>
          <w:color w:val="000000"/>
          <w:sz w:val="20"/>
        </w:rPr>
      </w:pPr>
      <w:r>
        <w:rPr>
          <w:rFonts w:ascii="sans-serif" w:hAnsi="sans-serif"/>
          <w:color w:val="000000"/>
          <w:sz w:val="20"/>
        </w:rPr>
        <w:t>(1) The Report fully complies with the requirements of section 13(a) or 15(d) of the Securities Exchange Act of 1934; and</w:t>
      </w:r>
    </w:p>
    <w:p>
      <w:pPr>
        <w:pStyle w:val="TextBody"/>
        <w:bidi w:val="0"/>
        <w:spacing w:before="240" w:after="283"/>
        <w:jc w:val="left"/>
        <w:rPr>
          <w:rFonts w:ascii="sans-serif" w:hAnsi="sans-serif"/>
          <w:color w:val="000000"/>
          <w:sz w:val="20"/>
        </w:rPr>
      </w:pPr>
      <w:r>
        <w:rPr>
          <w:rFonts w:ascii="sans-serif" w:hAnsi="sans-serif"/>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937" w:type="dxa"/>
        <w:jc w:val="left"/>
        <w:tblInd w:w="0" w:type="dxa"/>
        <w:tblLayout w:type="fixed"/>
        <w:tblCellMar>
          <w:top w:w="28" w:type="dxa"/>
          <w:left w:w="28" w:type="dxa"/>
          <w:bottom w:w="28" w:type="dxa"/>
          <w:right w:w="28" w:type="dxa"/>
        </w:tblCellMar>
      </w:tblPr>
      <w:tblGrid>
        <w:gridCol w:w="2161"/>
        <w:gridCol w:w="109"/>
        <w:gridCol w:w="421"/>
        <w:gridCol w:w="4246"/>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Richard Fair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Richard Fair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President and Chief Executive Officer</w:t>
            </w:r>
          </w:p>
          <w:p>
            <w:pPr>
              <w:pStyle w:val="TableContents"/>
              <w:bidi w:val="0"/>
              <w:spacing w:before="0" w:after="283"/>
              <w:jc w:val="center"/>
              <w:rPr>
                <w:rFonts w:ascii="sans-serif" w:hAnsi="sans-serif"/>
                <w:b/>
                <w:color w:val="000000"/>
                <w:sz w:val="20"/>
              </w:rPr>
            </w:pPr>
            <w:r>
              <w:rPr>
                <w:rFonts w:ascii="sans-serif" w:hAnsi="sans-serif"/>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elvn-ex32_2.htm"/>
      <w:bookmarkStart w:id="43" w:name="kselvnex32_2"/>
      <w:bookmarkEnd w:id="42"/>
      <w:bookmarkEnd w:id="43"/>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32.2</w:t>
      </w:r>
    </w:p>
    <w:p>
      <w:pPr>
        <w:pStyle w:val="TextBody"/>
        <w:bidi w:val="0"/>
        <w:spacing w:before="360" w:after="283"/>
        <w:jc w:val="center"/>
        <w:rPr>
          <w:rFonts w:ascii="sans-serif" w:hAnsi="sans-serif"/>
          <w:b/>
          <w:color w:val="000000"/>
          <w:sz w:val="20"/>
        </w:rPr>
      </w:pPr>
      <w:r>
        <w:rPr>
          <w:rFonts w:ascii="sans-serif" w:hAnsi="sans-serif"/>
          <w:b/>
          <w:color w:val="000000"/>
          <w:sz w:val="20"/>
        </w:rPr>
        <w:t>CERTIFICATION PURSUANT TO</w:t>
      </w:r>
    </w:p>
    <w:p>
      <w:pPr>
        <w:pStyle w:val="TextBody"/>
        <w:bidi w:val="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240" w:after="283"/>
        <w:jc w:val="left"/>
        <w:rPr>
          <w:rFonts w:ascii="sans-serif" w:hAnsi="sans-serif"/>
          <w:color w:val="000000"/>
          <w:sz w:val="20"/>
        </w:rPr>
      </w:pPr>
      <w:r>
        <w:rPr>
          <w:rFonts w:ascii="sans-serif" w:hAnsi="sans-serif"/>
          <w:color w:val="000000"/>
          <w:sz w:val="20"/>
        </w:rPr>
        <w:t>In connection with the Quarterly Report on Form 10-Q of Enliven Therapeutics, Inc. (the “Company”) for the period ending June 30, 2026, as filed with the Securities and Exchange Commission on the date hereof (the “Report”), the undersigned, Benjamin Hohl, Chief Financial Officer of the Company, hereby certifies, pursuant to 18 U.S.C. § 1350, as adopted pursuant to § 906 of the Sarbanes-Oxley Act of 2002, that to his knowledge:</w:t>
      </w:r>
    </w:p>
    <w:p>
      <w:pPr>
        <w:pStyle w:val="TextBody"/>
        <w:bidi w:val="0"/>
        <w:spacing w:before="240" w:after="283"/>
        <w:jc w:val="left"/>
        <w:rPr>
          <w:rFonts w:ascii="sans-serif" w:hAnsi="sans-serif"/>
          <w:color w:val="000000"/>
          <w:sz w:val="20"/>
        </w:rPr>
      </w:pPr>
      <w:r>
        <w:rPr>
          <w:rFonts w:ascii="sans-serif" w:hAnsi="sans-serif"/>
          <w:color w:val="000000"/>
          <w:sz w:val="20"/>
        </w:rPr>
        <w:t>(1) The Report fully complies with the requirements of section 13(a) or 15(d) of the Securities Exchange Act of 1934; and</w:t>
      </w:r>
    </w:p>
    <w:p>
      <w:pPr>
        <w:pStyle w:val="TextBody"/>
        <w:bidi w:val="0"/>
        <w:spacing w:before="240" w:after="283"/>
        <w:jc w:val="left"/>
        <w:rPr>
          <w:rFonts w:ascii="sans-serif" w:hAnsi="sans-serif"/>
          <w:color w:val="000000"/>
          <w:sz w:val="20"/>
        </w:rPr>
      </w:pPr>
      <w:r>
        <w:rPr>
          <w:rFonts w:ascii="sans-serif" w:hAnsi="sans-serif"/>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7582" w:type="dxa"/>
        <w:jc w:val="left"/>
        <w:tblInd w:w="0" w:type="dxa"/>
        <w:tblLayout w:type="fixed"/>
        <w:tblCellMar>
          <w:top w:w="28" w:type="dxa"/>
          <w:left w:w="28" w:type="dxa"/>
          <w:bottom w:w="28" w:type="dxa"/>
          <w:right w:w="28" w:type="dxa"/>
        </w:tblCellMar>
      </w:tblPr>
      <w:tblGrid>
        <w:gridCol w:w="2161"/>
        <w:gridCol w:w="109"/>
        <w:gridCol w:w="421"/>
        <w:gridCol w:w="4891"/>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4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Benjamin Hohl</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Benjamin Hohl</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tcBorders/>
            <w:shd w:fill="FFFFFF" w:val="clear"/>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Chief Financial Officer</w:t>
            </w:r>
          </w:p>
          <w:p>
            <w:pPr>
              <w:pStyle w:val="TableContents"/>
              <w:bidi w:val="0"/>
              <w:spacing w:before="0" w:after="283"/>
              <w:jc w:val="center"/>
              <w:rPr>
                <w:rFonts w:ascii="sans-serif" w:hAnsi="sans-serif"/>
                <w:b/>
                <w:color w:val="000000"/>
                <w:sz w:val="20"/>
              </w:rPr>
            </w:pPr>
            <w:r>
              <w:rPr>
                <w:rFonts w:ascii="sans-serif" w:hAnsi="sans-serif"/>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2619/000119312526269635/d152122d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82439</Words>
  <Characters>462210</Characters>
  <CharactersWithSpaces>545259</CharactersWithSpaces>
  <Paragraphs>6125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